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6.xml" ContentType="application/vnd.openxmlformats-officedocument.wordprocessingml.header+xml"/>
  <Override PartName="/word/footer2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9.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0.xml" ContentType="application/vnd.openxmlformats-officedocument.wordprocessingml.header+xml"/>
  <Override PartName="/word/footer2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3.xml" ContentType="application/vnd.openxmlformats-officedocument.wordprocessingml.header+xml"/>
  <Override PartName="/word/footer30.xml" ContentType="application/vnd.openxmlformats-officedocument.wordprocessingml.footer+xml"/>
  <Override PartName="/word/header24.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5.xml" ContentType="application/vnd.openxmlformats-officedocument.wordprocessingml.header+xml"/>
  <Override PartName="/word/footer33.xml" ContentType="application/vnd.openxmlformats-officedocument.wordprocessingml.footer+xml"/>
  <Override PartName="/word/header26.xml" ContentType="application/vnd.openxmlformats-officedocument.wordprocessingml.header+xml"/>
  <Override PartName="/word/footer34.xml" ContentType="application/vnd.openxmlformats-officedocument.wordprocessingml.footer+xml"/>
  <Override PartName="/word/header27.xml" ContentType="application/vnd.openxmlformats-officedocument.wordprocessingml.header+xml"/>
  <Override PartName="/word/footer35.xml" ContentType="application/vnd.openxmlformats-officedocument.wordprocessingml.footer+xml"/>
  <Override PartName="/word/header28.xml" ContentType="application/vnd.openxmlformats-officedocument.wordprocessingml.header+xml"/>
  <Override PartName="/word/footer36.xml" ContentType="application/vnd.openxmlformats-officedocument.wordprocessingml.footer+xml"/>
  <Override PartName="/word/header29.xml" ContentType="application/vnd.openxmlformats-officedocument.wordprocessingml.header+xml"/>
  <Override PartName="/word/footer37.xml" ContentType="application/vnd.openxmlformats-officedocument.wordprocessingml.footer+xml"/>
  <Override PartName="/word/header30.xml" ContentType="application/vnd.openxmlformats-officedocument.wordprocessingml.header+xml"/>
  <Override PartName="/word/footer38.xml" ContentType="application/vnd.openxmlformats-officedocument.wordprocessingml.footer+xml"/>
  <Override PartName="/word/header31.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32.xml" ContentType="application/vnd.openxmlformats-officedocument.wordprocessingml.header+xml"/>
  <Override PartName="/word/footer43.xml" ContentType="application/vnd.openxmlformats-officedocument.wordprocessingml.footer+xml"/>
  <Override PartName="/word/header33.xml" ContentType="application/vnd.openxmlformats-officedocument.wordprocessingml.header+xml"/>
  <Override PartName="/word/footer44.xml" ContentType="application/vnd.openxmlformats-officedocument.wordprocessingml.footer+xml"/>
  <Override PartName="/word/header34.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header35.xml" ContentType="application/vnd.openxmlformats-officedocument.wordprocessingml.header+xml"/>
  <Override PartName="/word/footer48.xml" ContentType="application/vnd.openxmlformats-officedocument.wordprocessingml.footer+xml"/>
  <Override PartName="/word/header36.xml" ContentType="application/vnd.openxmlformats-officedocument.wordprocessingml.header+xml"/>
  <Override PartName="/word/footer49.xml" ContentType="application/vnd.openxmlformats-officedocument.wordprocessingml.footer+xml"/>
  <Override PartName="/word/header37.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38.xml" ContentType="application/vnd.openxmlformats-officedocument.wordprocessingml.header+xml"/>
  <Override PartName="/word/footer52.xml" ContentType="application/vnd.openxmlformats-officedocument.wordprocessingml.footer+xml"/>
  <Override PartName="/word/header39.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40.xml" ContentType="application/vnd.openxmlformats-officedocument.wordprocessingml.header+xml"/>
  <Override PartName="/word/footer55.xml" ContentType="application/vnd.openxmlformats-officedocument.wordprocessingml.footer+xml"/>
  <Override PartName="/word/header41.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7FF76" w14:textId="77777777" w:rsidR="009A711C" w:rsidRPr="00CD186B" w:rsidRDefault="009A711C" w:rsidP="009A711C">
      <w:pPr>
        <w:jc w:val="center"/>
        <w:rPr>
          <w:rFonts w:cs="Arial"/>
          <w:b/>
          <w:sz w:val="16"/>
          <w:szCs w:val="16"/>
        </w:rPr>
      </w:pPr>
      <w:r w:rsidRPr="00CD186B">
        <w:rPr>
          <w:rFonts w:cs="Arial"/>
          <w:b/>
          <w:sz w:val="16"/>
          <w:szCs w:val="16"/>
        </w:rPr>
        <w:t>PARTE II</w:t>
      </w:r>
    </w:p>
    <w:p w14:paraId="6EF037EB" w14:textId="77777777" w:rsidR="009A711C" w:rsidRPr="00CD186B" w:rsidRDefault="009A711C" w:rsidP="009A711C">
      <w:pPr>
        <w:jc w:val="center"/>
        <w:rPr>
          <w:rFonts w:cs="Arial"/>
          <w:b/>
          <w:sz w:val="16"/>
          <w:szCs w:val="16"/>
        </w:rPr>
      </w:pPr>
      <w:r w:rsidRPr="00CD186B">
        <w:rPr>
          <w:rFonts w:cs="Arial"/>
          <w:b/>
          <w:sz w:val="16"/>
          <w:szCs w:val="16"/>
        </w:rPr>
        <w:t>MERCADO INTERMEDIADO</w:t>
      </w:r>
    </w:p>
    <w:p w14:paraId="109E1B80" w14:textId="77777777" w:rsidR="009A711C" w:rsidRPr="00CD186B" w:rsidRDefault="009A711C" w:rsidP="009A711C">
      <w:pPr>
        <w:jc w:val="center"/>
        <w:rPr>
          <w:rFonts w:cs="Arial"/>
          <w:b/>
          <w:sz w:val="16"/>
          <w:szCs w:val="16"/>
        </w:rPr>
      </w:pPr>
    </w:p>
    <w:p w14:paraId="1C91AAFC" w14:textId="77777777" w:rsidR="009A711C" w:rsidRPr="00CD186B" w:rsidRDefault="009A711C" w:rsidP="009A711C">
      <w:pPr>
        <w:jc w:val="center"/>
        <w:rPr>
          <w:rFonts w:cs="Arial"/>
          <w:b/>
          <w:sz w:val="16"/>
          <w:szCs w:val="16"/>
        </w:rPr>
      </w:pPr>
      <w:r w:rsidRPr="00CD186B">
        <w:rPr>
          <w:rFonts w:cs="Arial"/>
          <w:b/>
          <w:sz w:val="16"/>
          <w:szCs w:val="16"/>
        </w:rPr>
        <w:t>TÍTULO IV</w:t>
      </w:r>
    </w:p>
    <w:p w14:paraId="1B5942D7" w14:textId="77777777" w:rsidR="009A711C" w:rsidRPr="00CD186B" w:rsidRDefault="009A711C" w:rsidP="009A711C">
      <w:pPr>
        <w:jc w:val="center"/>
        <w:rPr>
          <w:rFonts w:cs="Arial"/>
          <w:b/>
          <w:sz w:val="16"/>
          <w:szCs w:val="16"/>
        </w:rPr>
      </w:pPr>
      <w:r w:rsidRPr="00CD186B">
        <w:rPr>
          <w:rFonts w:cs="Arial"/>
          <w:b/>
          <w:sz w:val="16"/>
          <w:szCs w:val="16"/>
        </w:rPr>
        <w:t>INSTRUCCIONES GENERALES RELATIVAS A LAS OPERACIONES DE LAS ENTIDADES ASEGURADORAS, CAPITALIZACIÓN E INTERMEDIARIOS DE SEGUROS</w:t>
      </w:r>
    </w:p>
    <w:p w14:paraId="4A65FBE9" w14:textId="77777777" w:rsidR="009A711C" w:rsidRPr="00CD186B" w:rsidRDefault="009A711C" w:rsidP="009A711C">
      <w:pPr>
        <w:tabs>
          <w:tab w:val="left" w:pos="3769"/>
        </w:tabs>
        <w:rPr>
          <w:rFonts w:cs="Arial"/>
          <w:b/>
          <w:sz w:val="16"/>
          <w:szCs w:val="16"/>
        </w:rPr>
      </w:pPr>
      <w:r>
        <w:rPr>
          <w:rFonts w:cs="Arial"/>
          <w:b/>
          <w:sz w:val="16"/>
          <w:szCs w:val="16"/>
        </w:rPr>
        <w:tab/>
      </w:r>
    </w:p>
    <w:p w14:paraId="457DF043" w14:textId="77777777" w:rsidR="009A711C" w:rsidRPr="00CD186B" w:rsidRDefault="009A711C" w:rsidP="009A711C">
      <w:pPr>
        <w:jc w:val="center"/>
        <w:rPr>
          <w:rFonts w:cs="Arial"/>
          <w:b/>
          <w:sz w:val="16"/>
          <w:szCs w:val="16"/>
        </w:rPr>
      </w:pPr>
      <w:r w:rsidRPr="00CD186B">
        <w:rPr>
          <w:rFonts w:cs="Arial"/>
          <w:b/>
          <w:sz w:val="16"/>
          <w:szCs w:val="16"/>
        </w:rPr>
        <w:t>CAPÍTULO II: DISPOSICIONES ESPECIALES APLICABLES A LAS ENTIDADES ASEGURADORAS Y REASEGURADORAS</w:t>
      </w:r>
    </w:p>
    <w:p w14:paraId="0B771349" w14:textId="77777777" w:rsidR="009A711C" w:rsidRPr="00CD186B" w:rsidRDefault="009A711C" w:rsidP="009A711C">
      <w:pPr>
        <w:rPr>
          <w:rFonts w:cs="Arial"/>
          <w:b/>
          <w:sz w:val="16"/>
          <w:szCs w:val="16"/>
        </w:rPr>
      </w:pPr>
    </w:p>
    <w:p w14:paraId="722B7BEF" w14:textId="77777777" w:rsidR="009A711C" w:rsidRPr="00CD186B" w:rsidRDefault="009A711C" w:rsidP="009A711C">
      <w:pPr>
        <w:pStyle w:val="Encabezadodetabladecontenido"/>
        <w:spacing w:before="0"/>
        <w:rPr>
          <w:rFonts w:ascii="Arial" w:hAnsi="Arial" w:cs="Arial"/>
          <w:color w:val="auto"/>
          <w:sz w:val="16"/>
          <w:szCs w:val="16"/>
          <w:lang w:val="es-ES"/>
        </w:rPr>
      </w:pPr>
    </w:p>
    <w:p w14:paraId="093E644F" w14:textId="77777777" w:rsidR="009A711C" w:rsidRPr="00CD186B" w:rsidRDefault="009A711C" w:rsidP="009A711C">
      <w:pPr>
        <w:pStyle w:val="Encabezadodetabladecontenido"/>
        <w:spacing w:before="0"/>
        <w:rPr>
          <w:rFonts w:ascii="Arial" w:hAnsi="Arial" w:cs="Arial"/>
          <w:color w:val="auto"/>
          <w:sz w:val="16"/>
          <w:szCs w:val="16"/>
        </w:rPr>
      </w:pPr>
      <w:r w:rsidRPr="00CD186B">
        <w:rPr>
          <w:rFonts w:ascii="Arial" w:hAnsi="Arial" w:cs="Arial"/>
          <w:color w:val="auto"/>
          <w:sz w:val="16"/>
          <w:szCs w:val="16"/>
          <w:lang w:val="es-ES"/>
        </w:rPr>
        <w:t>CONTENIDO</w:t>
      </w:r>
    </w:p>
    <w:p w14:paraId="399ACE24" w14:textId="77777777" w:rsidR="009A711C" w:rsidRPr="008270B7" w:rsidRDefault="009A711C" w:rsidP="008270B7">
      <w:pPr>
        <w:pStyle w:val="TDC1"/>
        <w:tabs>
          <w:tab w:val="right" w:leader="dot" w:pos="8830"/>
        </w:tabs>
        <w:rPr>
          <w:rFonts w:eastAsia="MS Mincho" w:cs="Arial"/>
          <w:b w:val="0"/>
          <w:bCs w:val="0"/>
          <w:noProof/>
          <w:szCs w:val="16"/>
          <w:lang w:val="es-ES_tradnl" w:eastAsia="ja-JP"/>
        </w:rPr>
      </w:pPr>
      <w:r w:rsidRPr="008270B7">
        <w:rPr>
          <w:rFonts w:cs="Arial"/>
          <w:b w:val="0"/>
          <w:bCs w:val="0"/>
          <w:szCs w:val="16"/>
        </w:rPr>
        <w:fldChar w:fldCharType="begin"/>
      </w:r>
      <w:r w:rsidRPr="008270B7">
        <w:rPr>
          <w:rFonts w:cs="Arial"/>
          <w:b w:val="0"/>
          <w:bCs w:val="0"/>
          <w:szCs w:val="16"/>
        </w:rPr>
        <w:instrText xml:space="preserve"> TOC \o "1-2" \h \z \u </w:instrText>
      </w:r>
      <w:r w:rsidRPr="008270B7">
        <w:rPr>
          <w:rFonts w:cs="Arial"/>
          <w:b w:val="0"/>
          <w:bCs w:val="0"/>
          <w:szCs w:val="16"/>
        </w:rPr>
        <w:fldChar w:fldCharType="separate"/>
      </w:r>
      <w:r w:rsidRPr="008270B7">
        <w:rPr>
          <w:rFonts w:cs="Arial"/>
          <w:b w:val="0"/>
          <w:bCs w:val="0"/>
          <w:noProof/>
          <w:szCs w:val="16"/>
        </w:rPr>
        <w:t>1. REGLAS GENERALES SOBRE LA OPERACIÓN DE SEGUROS</w:t>
      </w:r>
    </w:p>
    <w:p w14:paraId="02E311B3" w14:textId="77777777" w:rsidR="009A711C" w:rsidRPr="008270B7" w:rsidRDefault="009A711C" w:rsidP="008270B7">
      <w:pPr>
        <w:pStyle w:val="TDC2"/>
        <w:rPr>
          <w:rFonts w:eastAsia="MS Mincho"/>
          <w:lang w:val="es-ES_tradnl" w:eastAsia="ja-JP"/>
        </w:rPr>
      </w:pPr>
      <w:r w:rsidRPr="008270B7">
        <w:t>1.1. Autorización de ramos de seguros</w:t>
      </w:r>
    </w:p>
    <w:p w14:paraId="5C2AB29A" w14:textId="77777777" w:rsidR="009A711C" w:rsidRPr="008270B7" w:rsidRDefault="009A711C" w:rsidP="008270B7">
      <w:pPr>
        <w:pStyle w:val="TDC2"/>
        <w:rPr>
          <w:rFonts w:eastAsia="MS Mincho"/>
          <w:lang w:val="es-ES_tradnl" w:eastAsia="ja-JP"/>
        </w:rPr>
      </w:pPr>
      <w:r w:rsidRPr="008270B7">
        <w:t>1.2. Pólizas y tarifas</w:t>
      </w:r>
    </w:p>
    <w:p w14:paraId="6D12AF16" w14:textId="77777777" w:rsidR="009A711C" w:rsidRPr="008270B7" w:rsidRDefault="009A711C" w:rsidP="008270B7">
      <w:pPr>
        <w:pStyle w:val="TDC2"/>
        <w:rPr>
          <w:rFonts w:eastAsia="MS Mincho"/>
          <w:lang w:val="es-ES_tradnl" w:eastAsia="ja-JP"/>
        </w:rPr>
      </w:pPr>
      <w:r w:rsidRPr="008270B7">
        <w:t>1.3. Negocios en coaseguro</w:t>
      </w:r>
    </w:p>
    <w:p w14:paraId="00D3DA7A" w14:textId="77777777" w:rsidR="009A711C" w:rsidRPr="008270B7" w:rsidRDefault="009A711C" w:rsidP="008270B7">
      <w:pPr>
        <w:pStyle w:val="TDC2"/>
      </w:pPr>
      <w:r w:rsidRPr="008270B7">
        <w:t>1.4. Comisiones para el intermediario de seguros</w:t>
      </w:r>
    </w:p>
    <w:p w14:paraId="5A713AFB" w14:textId="77777777" w:rsidR="009A711C" w:rsidRPr="008270B7" w:rsidRDefault="009A711C" w:rsidP="008270B7">
      <w:pPr>
        <w:pStyle w:val="TDC2"/>
      </w:pPr>
      <w:r w:rsidRPr="008270B7">
        <w:t>1.5. Financiación de primas</w:t>
      </w:r>
    </w:p>
    <w:p w14:paraId="44F0A605" w14:textId="77777777" w:rsidR="009A711C" w:rsidRPr="008270B7" w:rsidRDefault="009A711C" w:rsidP="008270B7">
      <w:pPr>
        <w:pStyle w:val="TDC2"/>
        <w:rPr>
          <w:rFonts w:eastAsia="MS Mincho"/>
          <w:lang w:val="es-ES_tradnl" w:eastAsia="ja-JP"/>
        </w:rPr>
      </w:pPr>
      <w:r w:rsidRPr="008270B7">
        <w:t>1.6. Retención de riesgos, cesión y aceptación de reaseguros</w:t>
      </w:r>
    </w:p>
    <w:p w14:paraId="5F1DF644" w14:textId="77777777" w:rsidR="009A711C" w:rsidRPr="008270B7" w:rsidRDefault="009A711C" w:rsidP="008270B7">
      <w:pPr>
        <w:pStyle w:val="TDC2"/>
        <w:rPr>
          <w:rFonts w:eastAsia="MS Mincho"/>
          <w:lang w:val="es-ES_tradnl" w:eastAsia="ja-JP"/>
        </w:rPr>
      </w:pPr>
      <w:r w:rsidRPr="008270B7">
        <w:t>1.7. Prácticas inseguras en la contratación de seguros</w:t>
      </w:r>
    </w:p>
    <w:p w14:paraId="1B7D707D" w14:textId="77777777" w:rsidR="009A711C" w:rsidRPr="008270B7" w:rsidRDefault="009A711C" w:rsidP="008270B7">
      <w:pPr>
        <w:pStyle w:val="TDC2"/>
      </w:pPr>
      <w:r w:rsidRPr="008270B7">
        <w:t>1.8. Criterios y elementos mínimos de las notas técnicas</w:t>
      </w:r>
    </w:p>
    <w:p w14:paraId="36512076" w14:textId="77777777" w:rsidR="009A711C" w:rsidRPr="008270B7" w:rsidRDefault="009A711C" w:rsidP="008270B7">
      <w:pPr>
        <w:pStyle w:val="TDC2"/>
        <w:rPr>
          <w:rFonts w:eastAsia="MS Mincho"/>
          <w:lang w:val="es-ES_tradnl" w:eastAsia="ja-JP"/>
        </w:rPr>
      </w:pPr>
      <w:r w:rsidRPr="008270B7">
        <w:t>1.9. Devolución de primas</w:t>
      </w:r>
    </w:p>
    <w:p w14:paraId="6157196B" w14:textId="77777777" w:rsidR="009A711C" w:rsidRPr="008270B7" w:rsidRDefault="009A711C" w:rsidP="008270B7">
      <w:pPr>
        <w:pStyle w:val="TDC1"/>
        <w:tabs>
          <w:tab w:val="right" w:leader="dot" w:pos="8830"/>
        </w:tabs>
        <w:rPr>
          <w:rFonts w:eastAsia="MS Mincho" w:cs="Arial"/>
          <w:b w:val="0"/>
          <w:bCs w:val="0"/>
          <w:noProof/>
          <w:szCs w:val="16"/>
          <w:lang w:val="es-ES_tradnl" w:eastAsia="ja-JP"/>
        </w:rPr>
      </w:pPr>
      <w:r w:rsidRPr="008270B7">
        <w:rPr>
          <w:rFonts w:cs="Arial"/>
          <w:b w:val="0"/>
          <w:bCs w:val="0"/>
          <w:noProof/>
          <w:szCs w:val="16"/>
        </w:rPr>
        <w:t>2. ASPECTOS FINANCIEROS LAS ENTIDADES ASEGURADORAS</w:t>
      </w:r>
    </w:p>
    <w:p w14:paraId="657713CE" w14:textId="77777777" w:rsidR="009A711C" w:rsidRPr="008270B7" w:rsidRDefault="009A711C" w:rsidP="008270B7">
      <w:pPr>
        <w:pStyle w:val="TDC2"/>
        <w:rPr>
          <w:rFonts w:eastAsia="MS Mincho"/>
          <w:lang w:val="es-ES_tradnl" w:eastAsia="ja-JP"/>
        </w:rPr>
      </w:pPr>
      <w:r w:rsidRPr="008270B7">
        <w:t>2.1. Régimen patrimonial</w:t>
      </w:r>
    </w:p>
    <w:p w14:paraId="243FC24B" w14:textId="77777777" w:rsidR="009A711C" w:rsidRDefault="009A711C" w:rsidP="008270B7">
      <w:pPr>
        <w:pStyle w:val="TDC2"/>
      </w:pPr>
      <w:r w:rsidRPr="008270B7">
        <w:t>2.2. Reglas sobre el régimen de reservas técnicas y su inversión</w:t>
      </w:r>
    </w:p>
    <w:p w14:paraId="0C26184B" w14:textId="77777777" w:rsidR="00233737" w:rsidRPr="00233737" w:rsidRDefault="00233737" w:rsidP="00233737">
      <w:pPr>
        <w:pBdr>
          <w:left w:val="single" w:sz="4" w:space="4" w:color="auto"/>
        </w:pBdr>
        <w:rPr>
          <w:rFonts w:eastAsia="MS Mincho"/>
        </w:rPr>
      </w:pPr>
    </w:p>
    <w:p w14:paraId="3D0D85C5" w14:textId="77777777" w:rsidR="009A711C" w:rsidRPr="008270B7" w:rsidRDefault="009A711C" w:rsidP="008270B7">
      <w:pPr>
        <w:pStyle w:val="TDC1"/>
        <w:tabs>
          <w:tab w:val="right" w:leader="dot" w:pos="8830"/>
        </w:tabs>
        <w:rPr>
          <w:rFonts w:eastAsia="MS Mincho" w:cs="Arial"/>
          <w:b w:val="0"/>
          <w:bCs w:val="0"/>
          <w:noProof/>
          <w:szCs w:val="16"/>
          <w:lang w:val="es-ES_tradnl" w:eastAsia="ja-JP"/>
        </w:rPr>
      </w:pPr>
      <w:r w:rsidRPr="008270B7">
        <w:rPr>
          <w:rFonts w:cs="Arial"/>
          <w:b w:val="0"/>
          <w:bCs w:val="0"/>
          <w:noProof/>
          <w:szCs w:val="16"/>
        </w:rPr>
        <w:t>3. REGLAS PARTICULARES APLICABLES A CIERTOS RAMOS</w:t>
      </w:r>
    </w:p>
    <w:p w14:paraId="4AD1BE31" w14:textId="77777777" w:rsidR="009A711C" w:rsidRPr="008270B7" w:rsidRDefault="009A711C" w:rsidP="008270B7">
      <w:pPr>
        <w:pStyle w:val="TDC2"/>
        <w:rPr>
          <w:rFonts w:eastAsia="MS Mincho"/>
          <w:lang w:val="es-ES_tradnl" w:eastAsia="ja-JP"/>
        </w:rPr>
      </w:pPr>
      <w:r w:rsidRPr="008270B7">
        <w:t>3.1. Reglas aplicables al seguro obligatorio de daños corporales causados a las personas en accidentes de tránsito (SOAT)</w:t>
      </w:r>
      <w:r w:rsidRPr="008270B7">
        <w:rPr>
          <w:rFonts w:eastAsia="MS Mincho"/>
          <w:lang w:val="es-ES_tradnl" w:eastAsia="ja-JP"/>
        </w:rPr>
        <w:t xml:space="preserve"> </w:t>
      </w:r>
    </w:p>
    <w:p w14:paraId="6B7A3FA8" w14:textId="77777777" w:rsidR="009A711C" w:rsidRPr="008270B7" w:rsidRDefault="009A711C" w:rsidP="008270B7">
      <w:pPr>
        <w:pStyle w:val="TDC2"/>
        <w:rPr>
          <w:rFonts w:eastAsia="MS Mincho"/>
          <w:lang w:val="es-ES_tradnl" w:eastAsia="ja-JP"/>
        </w:rPr>
      </w:pPr>
      <w:r w:rsidRPr="008270B7">
        <w:t>3.2. Reglas aplicables al seguro previsional de invalidez y sobrevivientes</w:t>
      </w:r>
    </w:p>
    <w:p w14:paraId="4BE8F269" w14:textId="77777777" w:rsidR="009A711C" w:rsidRPr="008270B7" w:rsidRDefault="009A711C" w:rsidP="008270B7">
      <w:pPr>
        <w:pStyle w:val="TDC2"/>
        <w:rPr>
          <w:rFonts w:eastAsia="MS Mincho"/>
          <w:lang w:val="es-ES_tradnl" w:eastAsia="ja-JP"/>
        </w:rPr>
      </w:pPr>
      <w:r w:rsidRPr="008270B7">
        <w:t>3.3. Reglas aplicables al ramo de seguro de pensiones Ley 100</w:t>
      </w:r>
    </w:p>
    <w:p w14:paraId="42A89304" w14:textId="77777777" w:rsidR="009A711C" w:rsidRPr="008270B7" w:rsidRDefault="009A711C" w:rsidP="008270B7">
      <w:pPr>
        <w:pStyle w:val="TDC2"/>
      </w:pPr>
      <w:r w:rsidRPr="008270B7">
        <w:t>3.4. Reglas aplicables al seguro de riesgos laborales</w:t>
      </w:r>
    </w:p>
    <w:p w14:paraId="581CD75E" w14:textId="77777777" w:rsidR="009A711C" w:rsidRPr="008270B7" w:rsidRDefault="009A711C" w:rsidP="008270B7">
      <w:pPr>
        <w:pStyle w:val="TDC2"/>
        <w:rPr>
          <w:rFonts w:eastAsia="MS Mincho"/>
          <w:lang w:val="es-ES_tradnl" w:eastAsia="ja-JP"/>
        </w:rPr>
      </w:pPr>
      <w:r w:rsidRPr="008270B7">
        <w:t>3.5. Reglas aplicables al seguro de enfermedades de alto costo</w:t>
      </w:r>
    </w:p>
    <w:p w14:paraId="657F25F6" w14:textId="77777777" w:rsidR="009A711C" w:rsidRPr="008270B7" w:rsidRDefault="009A711C" w:rsidP="008270B7">
      <w:pPr>
        <w:pStyle w:val="TDC2"/>
        <w:rPr>
          <w:rFonts w:eastAsia="MS Mincho"/>
          <w:lang w:val="es-ES_tradnl" w:eastAsia="ja-JP"/>
        </w:rPr>
      </w:pPr>
      <w:r w:rsidRPr="008270B7">
        <w:t>3.6. Reglas aplicables a los seguros de vida</w:t>
      </w:r>
    </w:p>
    <w:p w14:paraId="59E02F06" w14:textId="77777777" w:rsidR="009A711C" w:rsidRPr="008270B7" w:rsidRDefault="009A711C" w:rsidP="008270B7">
      <w:pPr>
        <w:pStyle w:val="TDC2"/>
        <w:rPr>
          <w:rFonts w:eastAsia="MS Mincho"/>
          <w:lang w:val="es-ES_tradnl" w:eastAsia="ja-JP"/>
        </w:rPr>
      </w:pPr>
      <w:r w:rsidRPr="008270B7">
        <w:t>3.7. Reglas especiales aplicables al ramo de pensiones con conmutación pensional</w:t>
      </w:r>
    </w:p>
    <w:p w14:paraId="0878DF29" w14:textId="77777777" w:rsidR="009A711C" w:rsidRPr="008270B7" w:rsidRDefault="009A711C" w:rsidP="008270B7">
      <w:pPr>
        <w:pStyle w:val="TDC2"/>
        <w:rPr>
          <w:rFonts w:eastAsia="MS Mincho"/>
          <w:lang w:val="es-ES_tradnl" w:eastAsia="ja-JP"/>
        </w:rPr>
      </w:pPr>
      <w:r w:rsidRPr="008270B7">
        <w:t>3.8. Tablas de riesgos de vejez, invalidez y sobrevivencia</w:t>
      </w:r>
    </w:p>
    <w:p w14:paraId="2015E38A" w14:textId="77777777" w:rsidR="009A711C" w:rsidRPr="008270B7" w:rsidRDefault="009A711C" w:rsidP="008270B7">
      <w:pPr>
        <w:pStyle w:val="TDC2"/>
        <w:rPr>
          <w:rFonts w:eastAsia="MS Mincho"/>
          <w:lang w:val="es-ES_tradnl" w:eastAsia="ja-JP"/>
        </w:rPr>
      </w:pPr>
      <w:r w:rsidRPr="008270B7">
        <w:t>3.9. Reglas aplicables al ramo de cumplimiento</w:t>
      </w:r>
    </w:p>
    <w:p w14:paraId="02C6EF17" w14:textId="77777777" w:rsidR="009A711C" w:rsidRPr="008270B7" w:rsidRDefault="009A711C" w:rsidP="008270B7">
      <w:pPr>
        <w:pStyle w:val="TDC2"/>
        <w:rPr>
          <w:rFonts w:eastAsia="MS Mincho"/>
          <w:lang w:val="es-ES_tradnl" w:eastAsia="ja-JP"/>
        </w:rPr>
      </w:pPr>
      <w:r w:rsidRPr="008270B7">
        <w:t>3.10. Reglas especiales aplicables al ramo de seguro de rentas voluntarias</w:t>
      </w:r>
    </w:p>
    <w:p w14:paraId="24CF038C" w14:textId="77777777" w:rsidR="009A711C" w:rsidRPr="008270B7" w:rsidRDefault="009A711C" w:rsidP="008270B7">
      <w:pPr>
        <w:pStyle w:val="TDC2"/>
      </w:pPr>
      <w:r w:rsidRPr="008270B7">
        <w:t>3.11. Reglas aplicables al Seguro de Beneficios Económicos Periódicos - BEPS</w:t>
      </w:r>
    </w:p>
    <w:p w14:paraId="34C7E28F" w14:textId="77777777" w:rsidR="009A711C" w:rsidRPr="008270B7" w:rsidRDefault="009A711C" w:rsidP="008270B7">
      <w:pPr>
        <w:pStyle w:val="TDC2"/>
      </w:pPr>
      <w:r w:rsidRPr="008270B7">
        <w:t>3.12. Reglas aplicables a la póliza de seriedad de la candidatura</w:t>
      </w:r>
    </w:p>
    <w:p w14:paraId="734B6A7A" w14:textId="77777777" w:rsidR="009A711C" w:rsidRPr="008270B7" w:rsidRDefault="009A711C" w:rsidP="008270B7">
      <w:pPr>
        <w:pStyle w:val="TDC2"/>
      </w:pPr>
      <w:r w:rsidRPr="008270B7">
        <w:t>3.13. Reglas aplicables al seguro de terremoto</w:t>
      </w:r>
    </w:p>
    <w:p w14:paraId="2F40C50E" w14:textId="77777777" w:rsidR="009A711C" w:rsidRPr="008270B7" w:rsidRDefault="009A711C" w:rsidP="008270B7">
      <w:pPr>
        <w:pStyle w:val="TDC1"/>
        <w:tabs>
          <w:tab w:val="right" w:leader="dot" w:pos="8830"/>
        </w:tabs>
        <w:rPr>
          <w:rFonts w:eastAsia="MS Mincho" w:cs="Arial"/>
          <w:b w:val="0"/>
          <w:bCs w:val="0"/>
          <w:noProof/>
          <w:szCs w:val="16"/>
          <w:lang w:val="es-ES_tradnl" w:eastAsia="ja-JP"/>
        </w:rPr>
      </w:pPr>
      <w:r w:rsidRPr="008270B7">
        <w:rPr>
          <w:rFonts w:cs="Arial"/>
          <w:b w:val="0"/>
          <w:bCs w:val="0"/>
          <w:noProof/>
          <w:szCs w:val="16"/>
        </w:rPr>
        <w:t>4. REGLAS RELATIVAS A OTRAS ACTIVIDADES DESARROLLADAS POR LAS ENTIDADES ASEGURADORAS</w:t>
      </w:r>
    </w:p>
    <w:p w14:paraId="62D471F1" w14:textId="77777777" w:rsidR="009A711C" w:rsidRPr="008270B7" w:rsidRDefault="009A711C" w:rsidP="008270B7">
      <w:pPr>
        <w:pStyle w:val="TDC2"/>
        <w:rPr>
          <w:rFonts w:eastAsia="MS Mincho"/>
          <w:lang w:val="es-ES_tradnl" w:eastAsia="ja-JP"/>
        </w:rPr>
      </w:pPr>
      <w:r w:rsidRPr="008270B7">
        <w:t>4.1. Emisión de planes alternativos de pensiones</w:t>
      </w:r>
    </w:p>
    <w:p w14:paraId="0B240BD0" w14:textId="77777777" w:rsidR="009A711C" w:rsidRPr="008270B7" w:rsidRDefault="009A711C" w:rsidP="008270B7">
      <w:pPr>
        <w:pStyle w:val="TDC2"/>
        <w:rPr>
          <w:rFonts w:eastAsia="MS Mincho"/>
          <w:lang w:val="es-ES_tradnl" w:eastAsia="ja-JP"/>
        </w:rPr>
      </w:pPr>
      <w:r w:rsidRPr="008270B7">
        <w:t>4.2. Administración de fondos de voluntarios de pensión</w:t>
      </w:r>
    </w:p>
    <w:p w14:paraId="00E5D533" w14:textId="77777777" w:rsidR="009A711C" w:rsidRPr="008270B7" w:rsidRDefault="009A711C" w:rsidP="008270B7">
      <w:pPr>
        <w:pStyle w:val="TDC1"/>
        <w:tabs>
          <w:tab w:val="right" w:leader="dot" w:pos="8830"/>
        </w:tabs>
        <w:rPr>
          <w:rFonts w:eastAsia="MS Mincho" w:cs="Arial"/>
          <w:b w:val="0"/>
          <w:bCs w:val="0"/>
          <w:noProof/>
          <w:szCs w:val="16"/>
          <w:lang w:val="es-ES_tradnl" w:eastAsia="ja-JP"/>
        </w:rPr>
      </w:pPr>
      <w:r w:rsidRPr="008270B7">
        <w:rPr>
          <w:rFonts w:cs="Arial"/>
          <w:b w:val="0"/>
          <w:bCs w:val="0"/>
          <w:noProof/>
          <w:szCs w:val="16"/>
        </w:rPr>
        <w:t>5. SUSCRIPCIÓN DE CONTRATOS DE ENCARGO FIDUCIARIO DE INVERSIÓN POR PARTE DE LAS ENTIDADES ASEGURADORAS</w:t>
      </w:r>
    </w:p>
    <w:p w14:paraId="0C30C692" w14:textId="77777777" w:rsidR="009A711C" w:rsidRPr="008270B7" w:rsidRDefault="009A711C" w:rsidP="008270B7">
      <w:pPr>
        <w:rPr>
          <w:rFonts w:eastAsia="MS Mincho" w:cs="Arial"/>
          <w:noProof/>
          <w:sz w:val="16"/>
          <w:szCs w:val="16"/>
          <w:lang w:val="es-ES_tradnl" w:eastAsia="ja-JP"/>
        </w:rPr>
      </w:pPr>
      <w:r w:rsidRPr="008270B7">
        <w:rPr>
          <w:rFonts w:cs="Arial"/>
          <w:sz w:val="16"/>
          <w:szCs w:val="16"/>
        </w:rPr>
        <w:fldChar w:fldCharType="end"/>
      </w:r>
      <w:r w:rsidRPr="008270B7">
        <w:rPr>
          <w:rFonts w:cs="Arial"/>
          <w:noProof/>
          <w:sz w:val="16"/>
          <w:szCs w:val="16"/>
        </w:rPr>
        <w:t>6. REGLAS RELACIONADAS CON</w:t>
      </w:r>
      <w:r w:rsidRPr="008270B7">
        <w:rPr>
          <w:rFonts w:cs="Arial"/>
          <w:sz w:val="16"/>
          <w:szCs w:val="16"/>
        </w:rPr>
        <w:t xml:space="preserve"> EL ROL DE LOS ACTUARIOS DE LAS ENTIDADES ASEGURADORAS</w:t>
      </w:r>
    </w:p>
    <w:p w14:paraId="463E75A1" w14:textId="77777777" w:rsidR="009A711C" w:rsidRPr="008270B7" w:rsidRDefault="009A711C" w:rsidP="008270B7">
      <w:pPr>
        <w:rPr>
          <w:rFonts w:cs="Arial"/>
          <w:sz w:val="16"/>
          <w:szCs w:val="16"/>
          <w:lang w:val="es-ES_tradnl"/>
        </w:rPr>
      </w:pPr>
    </w:p>
    <w:p w14:paraId="6533755E" w14:textId="77777777" w:rsidR="009A711C" w:rsidRPr="008270B7" w:rsidRDefault="009A711C" w:rsidP="008270B7">
      <w:pPr>
        <w:ind w:left="284"/>
        <w:rPr>
          <w:rFonts w:cs="Arial"/>
          <w:sz w:val="16"/>
          <w:szCs w:val="16"/>
          <w:lang w:val="es-ES_tradnl"/>
        </w:rPr>
      </w:pPr>
      <w:r w:rsidRPr="008270B7">
        <w:rPr>
          <w:rFonts w:cs="Arial"/>
          <w:sz w:val="16"/>
          <w:szCs w:val="16"/>
          <w:lang w:val="es-ES_tradnl"/>
        </w:rPr>
        <w:t>6.1. Definiciones</w:t>
      </w:r>
    </w:p>
    <w:p w14:paraId="022A916F" w14:textId="77777777" w:rsidR="009A711C" w:rsidRPr="008270B7" w:rsidRDefault="009A711C" w:rsidP="008270B7">
      <w:pPr>
        <w:ind w:left="284"/>
        <w:rPr>
          <w:rFonts w:cs="Arial"/>
          <w:sz w:val="16"/>
          <w:szCs w:val="16"/>
          <w:lang w:val="es-ES_tradnl"/>
        </w:rPr>
      </w:pPr>
      <w:r w:rsidRPr="008270B7">
        <w:rPr>
          <w:rFonts w:cs="Arial"/>
          <w:sz w:val="16"/>
          <w:szCs w:val="16"/>
          <w:lang w:val="es-ES_tradnl"/>
        </w:rPr>
        <w:t>6.2. Actuario Responsable</w:t>
      </w:r>
    </w:p>
    <w:p w14:paraId="035F2A96" w14:textId="77777777" w:rsidR="00B93E1B" w:rsidRDefault="00B93E1B" w:rsidP="00B93E1B">
      <w:pPr>
        <w:pBdr>
          <w:left w:val="single" w:sz="4" w:space="4" w:color="auto"/>
        </w:pBdr>
        <w:rPr>
          <w:rFonts w:cs="Arial"/>
          <w:sz w:val="16"/>
          <w:szCs w:val="16"/>
        </w:rPr>
      </w:pPr>
    </w:p>
    <w:p w14:paraId="0212A955" w14:textId="77777777" w:rsidR="00B93E1B" w:rsidRPr="008270B7" w:rsidRDefault="00B93E1B" w:rsidP="00B93E1B">
      <w:pPr>
        <w:rPr>
          <w:rFonts w:cs="Arial"/>
          <w:sz w:val="16"/>
          <w:szCs w:val="16"/>
        </w:rPr>
      </w:pPr>
    </w:p>
    <w:p w14:paraId="19E1D758" w14:textId="77777777" w:rsidR="009A711C" w:rsidRPr="008270B7" w:rsidRDefault="009A711C" w:rsidP="008270B7">
      <w:pPr>
        <w:jc w:val="both"/>
        <w:rPr>
          <w:rFonts w:cs="Arial"/>
          <w:sz w:val="16"/>
          <w:szCs w:val="16"/>
        </w:rPr>
      </w:pPr>
      <w:r w:rsidRPr="008270B7">
        <w:rPr>
          <w:rFonts w:cs="Arial"/>
          <w:noProof/>
          <w:sz w:val="16"/>
          <w:szCs w:val="16"/>
        </w:rPr>
        <w:t xml:space="preserve">7. </w:t>
      </w:r>
      <w:r w:rsidRPr="008270B7">
        <w:rPr>
          <w:rFonts w:cs="Arial"/>
          <w:sz w:val="16"/>
          <w:szCs w:val="16"/>
        </w:rPr>
        <w:t>INSTRUCCIONES RELATIVAS A LA IDONEIDAD DE PERSONAS NATURALES QUE EJERCEN LA INTERMEDIACIÓN DE SEGUROS</w:t>
      </w:r>
    </w:p>
    <w:p w14:paraId="080F1753" w14:textId="77777777" w:rsidR="009A711C" w:rsidRPr="008270B7" w:rsidRDefault="009A711C" w:rsidP="008270B7">
      <w:pPr>
        <w:jc w:val="both"/>
        <w:rPr>
          <w:rFonts w:eastAsia="MS Mincho" w:cs="Arial"/>
          <w:noProof/>
          <w:sz w:val="16"/>
          <w:szCs w:val="16"/>
          <w:lang w:val="es-ES_tradnl" w:eastAsia="ja-JP"/>
        </w:rPr>
      </w:pPr>
    </w:p>
    <w:p w14:paraId="45FE8226" w14:textId="77777777" w:rsidR="009A711C" w:rsidRPr="008270B7" w:rsidRDefault="009A711C" w:rsidP="008270B7">
      <w:pPr>
        <w:ind w:left="284"/>
        <w:rPr>
          <w:rFonts w:cs="Arial"/>
          <w:sz w:val="16"/>
          <w:szCs w:val="16"/>
          <w:lang w:val="es-ES_tradnl"/>
        </w:rPr>
      </w:pPr>
      <w:r w:rsidRPr="008270B7">
        <w:rPr>
          <w:rFonts w:cs="Arial"/>
          <w:sz w:val="16"/>
          <w:szCs w:val="16"/>
          <w:lang w:val="es-ES_tradnl"/>
        </w:rPr>
        <w:t>7.1. Ámbito de aplicación</w:t>
      </w:r>
    </w:p>
    <w:p w14:paraId="4FD3D215" w14:textId="77777777" w:rsidR="009A711C" w:rsidRPr="008270B7" w:rsidRDefault="009A711C" w:rsidP="008270B7">
      <w:pPr>
        <w:ind w:left="284"/>
        <w:rPr>
          <w:rFonts w:cs="Arial"/>
          <w:sz w:val="16"/>
          <w:szCs w:val="16"/>
          <w:lang w:val="es-ES_tradnl"/>
        </w:rPr>
      </w:pPr>
      <w:r w:rsidRPr="008270B7">
        <w:rPr>
          <w:rFonts w:cs="Arial"/>
          <w:sz w:val="16"/>
          <w:szCs w:val="16"/>
          <w:lang w:val="es-ES_tradnl"/>
        </w:rPr>
        <w:t>7.2. Acreditación de idoneidad</w:t>
      </w:r>
    </w:p>
    <w:p w14:paraId="0C2F4726" w14:textId="77777777" w:rsidR="009A711C" w:rsidRPr="008270B7" w:rsidRDefault="009A711C" w:rsidP="008270B7">
      <w:pPr>
        <w:ind w:left="284"/>
        <w:rPr>
          <w:rFonts w:cs="Arial"/>
          <w:sz w:val="16"/>
          <w:szCs w:val="16"/>
        </w:rPr>
      </w:pPr>
      <w:r w:rsidRPr="008270B7">
        <w:rPr>
          <w:rFonts w:cs="Arial"/>
          <w:sz w:val="16"/>
          <w:szCs w:val="16"/>
          <w:lang w:val="es-ES_tradnl"/>
        </w:rPr>
        <w:t xml:space="preserve">7.3. </w:t>
      </w:r>
      <w:r w:rsidRPr="008270B7">
        <w:rPr>
          <w:rFonts w:cs="Arial"/>
          <w:sz w:val="16"/>
          <w:szCs w:val="16"/>
        </w:rPr>
        <w:t>Responsabilidades de la junta directiva</w:t>
      </w:r>
    </w:p>
    <w:p w14:paraId="0CC93647" w14:textId="77777777" w:rsidR="009A711C" w:rsidRPr="008270B7" w:rsidRDefault="009A711C" w:rsidP="008270B7">
      <w:pPr>
        <w:ind w:left="284"/>
        <w:rPr>
          <w:rFonts w:cs="Arial"/>
          <w:sz w:val="16"/>
          <w:szCs w:val="16"/>
          <w:lang w:val="es-ES_tradnl"/>
        </w:rPr>
      </w:pPr>
      <w:r w:rsidRPr="008270B7">
        <w:rPr>
          <w:rFonts w:cs="Arial"/>
          <w:sz w:val="16"/>
          <w:szCs w:val="16"/>
          <w:lang w:val="es-ES_tradnl"/>
        </w:rPr>
        <w:t>7.4. Documentación</w:t>
      </w:r>
    </w:p>
    <w:p w14:paraId="1E34017C" w14:textId="77777777" w:rsidR="009A711C" w:rsidRPr="008270B7" w:rsidRDefault="009A711C" w:rsidP="008270B7">
      <w:pPr>
        <w:tabs>
          <w:tab w:val="left" w:pos="720"/>
          <w:tab w:val="left" w:pos="1064"/>
          <w:tab w:val="left" w:pos="2057"/>
          <w:tab w:val="left" w:pos="8789"/>
        </w:tabs>
        <w:ind w:right="51"/>
        <w:jc w:val="both"/>
        <w:rPr>
          <w:rFonts w:cs="Arial"/>
          <w:sz w:val="16"/>
          <w:szCs w:val="16"/>
        </w:rPr>
      </w:pPr>
    </w:p>
    <w:p w14:paraId="4C29B4A8" w14:textId="77777777" w:rsidR="009A711C" w:rsidRPr="008270B7" w:rsidRDefault="009A711C" w:rsidP="008270B7">
      <w:pPr>
        <w:tabs>
          <w:tab w:val="left" w:pos="720"/>
          <w:tab w:val="left" w:pos="1064"/>
          <w:tab w:val="left" w:pos="2057"/>
          <w:tab w:val="left" w:pos="8789"/>
        </w:tabs>
        <w:ind w:right="51"/>
        <w:jc w:val="both"/>
        <w:rPr>
          <w:rFonts w:cs="Arial"/>
          <w:sz w:val="16"/>
          <w:szCs w:val="16"/>
        </w:rPr>
      </w:pPr>
    </w:p>
    <w:p w14:paraId="77047D3A" w14:textId="77777777" w:rsidR="009A711C" w:rsidRPr="008270B7" w:rsidRDefault="009A711C" w:rsidP="008270B7">
      <w:pPr>
        <w:tabs>
          <w:tab w:val="left" w:pos="720"/>
          <w:tab w:val="left" w:pos="1064"/>
          <w:tab w:val="left" w:pos="2057"/>
          <w:tab w:val="left" w:pos="8789"/>
        </w:tabs>
        <w:ind w:right="51"/>
        <w:jc w:val="both"/>
        <w:rPr>
          <w:rFonts w:cs="Arial"/>
          <w:sz w:val="16"/>
          <w:szCs w:val="16"/>
        </w:rPr>
      </w:pPr>
    </w:p>
    <w:p w14:paraId="0244FF01" w14:textId="77777777" w:rsidR="009A711C" w:rsidRPr="008270B7" w:rsidRDefault="009A711C" w:rsidP="008270B7">
      <w:pPr>
        <w:tabs>
          <w:tab w:val="left" w:pos="720"/>
          <w:tab w:val="left" w:pos="1064"/>
          <w:tab w:val="left" w:pos="2057"/>
          <w:tab w:val="left" w:pos="8789"/>
        </w:tabs>
        <w:ind w:right="51"/>
        <w:jc w:val="both"/>
        <w:rPr>
          <w:rFonts w:cs="Arial"/>
          <w:sz w:val="16"/>
          <w:szCs w:val="16"/>
        </w:rPr>
      </w:pPr>
    </w:p>
    <w:p w14:paraId="2BF77041" w14:textId="77777777" w:rsidR="009A711C" w:rsidRPr="008270B7" w:rsidRDefault="009A711C" w:rsidP="008270B7">
      <w:pPr>
        <w:tabs>
          <w:tab w:val="left" w:pos="720"/>
          <w:tab w:val="left" w:pos="1064"/>
          <w:tab w:val="left" w:pos="2057"/>
          <w:tab w:val="left" w:pos="8789"/>
        </w:tabs>
        <w:ind w:right="51"/>
        <w:jc w:val="both"/>
        <w:rPr>
          <w:rFonts w:cs="Arial"/>
          <w:sz w:val="16"/>
          <w:szCs w:val="16"/>
        </w:rPr>
      </w:pPr>
    </w:p>
    <w:p w14:paraId="4E9A2B81"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0B83E60F"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5E1D7A08"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2BDF61AB"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33B2B204"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69641593"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3F9C853D"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72B05105"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7121212D" w14:textId="77777777" w:rsidR="009A711C" w:rsidRDefault="009A711C" w:rsidP="009A711C">
      <w:pPr>
        <w:tabs>
          <w:tab w:val="left" w:pos="720"/>
          <w:tab w:val="left" w:pos="1064"/>
          <w:tab w:val="left" w:pos="2057"/>
          <w:tab w:val="left" w:pos="8789"/>
        </w:tabs>
        <w:ind w:right="51"/>
        <w:jc w:val="both"/>
        <w:rPr>
          <w:rFonts w:cs="Arial"/>
          <w:b/>
          <w:sz w:val="16"/>
          <w:szCs w:val="16"/>
        </w:rPr>
      </w:pPr>
    </w:p>
    <w:p w14:paraId="75D4730F" w14:textId="77777777" w:rsidR="006E283D" w:rsidRDefault="006E283D" w:rsidP="006E283D">
      <w:pPr>
        <w:tabs>
          <w:tab w:val="left" w:pos="720"/>
          <w:tab w:val="left" w:pos="1064"/>
          <w:tab w:val="left" w:pos="2057"/>
          <w:tab w:val="left" w:pos="8789"/>
        </w:tabs>
        <w:ind w:right="51"/>
        <w:jc w:val="both"/>
        <w:rPr>
          <w:rFonts w:cs="Arial"/>
          <w:b/>
          <w:sz w:val="16"/>
          <w:szCs w:val="16"/>
        </w:rPr>
      </w:pPr>
    </w:p>
    <w:p w14:paraId="724F005B" w14:textId="77777777" w:rsidR="00BE660C" w:rsidRPr="00CD186B" w:rsidRDefault="00BE660C" w:rsidP="00BE660C">
      <w:pPr>
        <w:jc w:val="center"/>
        <w:rPr>
          <w:rFonts w:cs="Arial"/>
          <w:b/>
          <w:sz w:val="16"/>
          <w:szCs w:val="16"/>
          <w:lang w:val="es-CO"/>
        </w:rPr>
      </w:pPr>
    </w:p>
    <w:p w14:paraId="5BCD9147" w14:textId="77777777" w:rsidR="004233F9" w:rsidRPr="00CD186B" w:rsidRDefault="004233F9" w:rsidP="00BE660C">
      <w:pPr>
        <w:jc w:val="center"/>
        <w:rPr>
          <w:rFonts w:cs="Arial"/>
          <w:b/>
          <w:sz w:val="16"/>
          <w:szCs w:val="16"/>
        </w:rPr>
        <w:sectPr w:rsidR="004233F9" w:rsidRPr="00CD186B" w:rsidSect="00CD186B">
          <w:headerReference w:type="default" r:id="rId11"/>
          <w:footerReference w:type="default" r:id="rId12"/>
          <w:headerReference w:type="first" r:id="rId13"/>
          <w:pgSz w:w="12240" w:h="18720" w:code="257"/>
          <w:pgMar w:top="1417" w:right="1701" w:bottom="1417" w:left="1701" w:header="709" w:footer="1134" w:gutter="0"/>
          <w:cols w:space="708"/>
          <w:docGrid w:linePitch="360"/>
        </w:sectPr>
      </w:pPr>
    </w:p>
    <w:p w14:paraId="784B321F" w14:textId="77777777" w:rsidR="00CD186B" w:rsidRPr="00CD186B" w:rsidRDefault="00CD186B" w:rsidP="00BE660C">
      <w:pPr>
        <w:jc w:val="center"/>
        <w:rPr>
          <w:rFonts w:cs="Arial"/>
          <w:b/>
          <w:sz w:val="16"/>
          <w:szCs w:val="16"/>
        </w:rPr>
      </w:pPr>
    </w:p>
    <w:p w14:paraId="77CECD96" w14:textId="77777777" w:rsidR="00DB3C51" w:rsidRPr="00CD186B" w:rsidRDefault="00DB3C51" w:rsidP="00DB3C51">
      <w:pPr>
        <w:jc w:val="center"/>
        <w:rPr>
          <w:rFonts w:cs="Arial"/>
          <w:b/>
          <w:sz w:val="16"/>
          <w:szCs w:val="16"/>
        </w:rPr>
      </w:pPr>
      <w:r>
        <w:rPr>
          <w:rFonts w:cs="Arial"/>
          <w:b/>
          <w:sz w:val="16"/>
          <w:szCs w:val="16"/>
        </w:rPr>
        <w:t>P</w:t>
      </w:r>
      <w:r w:rsidRPr="00CD186B">
        <w:rPr>
          <w:rFonts w:cs="Arial"/>
          <w:b/>
          <w:sz w:val="16"/>
          <w:szCs w:val="16"/>
        </w:rPr>
        <w:t>ARTE II</w:t>
      </w:r>
    </w:p>
    <w:p w14:paraId="53B1FD49" w14:textId="77777777" w:rsidR="00DB3C51" w:rsidRPr="00CD186B" w:rsidRDefault="00DB3C51" w:rsidP="00DB3C51">
      <w:pPr>
        <w:jc w:val="center"/>
        <w:rPr>
          <w:rFonts w:cs="Arial"/>
          <w:b/>
          <w:sz w:val="16"/>
          <w:szCs w:val="16"/>
        </w:rPr>
      </w:pPr>
      <w:r w:rsidRPr="00CD186B">
        <w:rPr>
          <w:rFonts w:cs="Arial"/>
          <w:b/>
          <w:sz w:val="16"/>
          <w:szCs w:val="16"/>
        </w:rPr>
        <w:t>MERCADO INTERMEDIADO</w:t>
      </w:r>
    </w:p>
    <w:p w14:paraId="6E4EB4DB" w14:textId="77777777" w:rsidR="00DB3C51" w:rsidRPr="00CD186B" w:rsidRDefault="00DB3C51" w:rsidP="00DB3C51">
      <w:pPr>
        <w:jc w:val="center"/>
        <w:rPr>
          <w:rFonts w:cs="Arial"/>
          <w:b/>
          <w:sz w:val="16"/>
          <w:szCs w:val="16"/>
        </w:rPr>
      </w:pPr>
    </w:p>
    <w:p w14:paraId="5C7D1F81" w14:textId="77777777" w:rsidR="00DB3C51" w:rsidRPr="00CD186B" w:rsidRDefault="00DB3C51" w:rsidP="00DB3C51">
      <w:pPr>
        <w:jc w:val="center"/>
        <w:rPr>
          <w:rFonts w:cs="Arial"/>
          <w:b/>
          <w:sz w:val="16"/>
          <w:szCs w:val="16"/>
        </w:rPr>
      </w:pPr>
      <w:r w:rsidRPr="00CD186B">
        <w:rPr>
          <w:rFonts w:cs="Arial"/>
          <w:b/>
          <w:sz w:val="16"/>
          <w:szCs w:val="16"/>
        </w:rPr>
        <w:t>TÍTULO IV</w:t>
      </w:r>
    </w:p>
    <w:p w14:paraId="472E9212" w14:textId="77777777" w:rsidR="00DB3C51" w:rsidRPr="00CD186B" w:rsidRDefault="00DB3C51" w:rsidP="00DB3C51">
      <w:pPr>
        <w:jc w:val="center"/>
        <w:rPr>
          <w:rFonts w:cs="Arial"/>
          <w:b/>
          <w:sz w:val="16"/>
          <w:szCs w:val="16"/>
        </w:rPr>
      </w:pPr>
      <w:r w:rsidRPr="00CD186B">
        <w:rPr>
          <w:rFonts w:cs="Arial"/>
          <w:b/>
          <w:sz w:val="16"/>
          <w:szCs w:val="16"/>
        </w:rPr>
        <w:t>INSTRUCCIONES GENERALES RELATIVAS A LAS OPERACIONES DE LAS ENTIDADES ASEGURADORAS, CAPITALIZACIÓN E INTERMEDIARIOS DE SEGUROS</w:t>
      </w:r>
    </w:p>
    <w:p w14:paraId="60A6A031" w14:textId="77777777" w:rsidR="00DB3C51" w:rsidRPr="00CD186B" w:rsidRDefault="00DB3C51" w:rsidP="00DB3C51">
      <w:pPr>
        <w:jc w:val="center"/>
        <w:rPr>
          <w:rFonts w:cs="Arial"/>
          <w:b/>
          <w:sz w:val="16"/>
          <w:szCs w:val="16"/>
        </w:rPr>
      </w:pPr>
    </w:p>
    <w:p w14:paraId="735C67F7" w14:textId="77777777" w:rsidR="00DB3C51" w:rsidRPr="00CD186B" w:rsidRDefault="00DB3C51" w:rsidP="00DB3C51">
      <w:pPr>
        <w:jc w:val="center"/>
        <w:rPr>
          <w:rFonts w:cs="Arial"/>
          <w:b/>
          <w:sz w:val="16"/>
          <w:szCs w:val="16"/>
        </w:rPr>
      </w:pPr>
      <w:r w:rsidRPr="00CD186B">
        <w:rPr>
          <w:rFonts w:cs="Arial"/>
          <w:b/>
          <w:sz w:val="16"/>
          <w:szCs w:val="16"/>
        </w:rPr>
        <w:t>CAPÍTULO II: DISPOSICIONES ESPECIALES APLICABLES A LAS ENTIDADES ASEGURADORAS Y REASEGURADORAS</w:t>
      </w:r>
    </w:p>
    <w:p w14:paraId="3B0D6BB6" w14:textId="77777777" w:rsidR="00DB3C51" w:rsidRPr="00354C20" w:rsidRDefault="00DB3C51" w:rsidP="00DB3C51">
      <w:pPr>
        <w:rPr>
          <w:rFonts w:cs="Arial"/>
          <w:b/>
          <w:sz w:val="14"/>
          <w:szCs w:val="16"/>
        </w:rPr>
      </w:pPr>
    </w:p>
    <w:p w14:paraId="0CE9FE0F" w14:textId="77777777" w:rsidR="00DB3C51" w:rsidRPr="00354C20" w:rsidRDefault="00DB3C51" w:rsidP="00DB3C51">
      <w:pPr>
        <w:jc w:val="both"/>
        <w:rPr>
          <w:rFonts w:cs="Arial"/>
          <w:b/>
          <w:sz w:val="14"/>
          <w:szCs w:val="16"/>
        </w:rPr>
      </w:pPr>
    </w:p>
    <w:p w14:paraId="07C4503B" w14:textId="77777777" w:rsidR="00DB3C51" w:rsidRPr="00CD186B" w:rsidRDefault="00DB3C51" w:rsidP="00DB3C51">
      <w:pPr>
        <w:pStyle w:val="Ttulo1"/>
        <w:spacing w:before="0" w:after="0"/>
        <w:jc w:val="both"/>
        <w:rPr>
          <w:bCs w:val="0"/>
          <w:szCs w:val="16"/>
        </w:rPr>
      </w:pPr>
      <w:r w:rsidRPr="00CD186B">
        <w:rPr>
          <w:bCs w:val="0"/>
          <w:szCs w:val="16"/>
        </w:rPr>
        <w:t xml:space="preserve">1. REGLAS GENERALES SOBRE LA OPERACIÓN DE SEGUROS </w:t>
      </w:r>
    </w:p>
    <w:p w14:paraId="1146A58D" w14:textId="77777777" w:rsidR="00DB3C51" w:rsidRPr="00CD186B" w:rsidRDefault="00DB3C51" w:rsidP="00DB3C51">
      <w:pPr>
        <w:pStyle w:val="Ttulo1"/>
        <w:tabs>
          <w:tab w:val="left" w:pos="0"/>
          <w:tab w:val="left" w:pos="720"/>
          <w:tab w:val="left" w:pos="12474"/>
        </w:tabs>
        <w:spacing w:before="0" w:after="0"/>
        <w:ind w:right="2302"/>
        <w:jc w:val="both"/>
        <w:rPr>
          <w:szCs w:val="16"/>
        </w:rPr>
      </w:pPr>
    </w:p>
    <w:p w14:paraId="5E49DBF3" w14:textId="77777777" w:rsidR="00DB3C51" w:rsidRPr="008270B7" w:rsidRDefault="00DB3C51" w:rsidP="008270B7">
      <w:pPr>
        <w:pStyle w:val="Ttulo2"/>
        <w:jc w:val="both"/>
        <w:rPr>
          <w:b w:val="0"/>
          <w:bCs w:val="0"/>
          <w:szCs w:val="16"/>
        </w:rPr>
      </w:pPr>
      <w:r w:rsidRPr="008270B7">
        <w:rPr>
          <w:b w:val="0"/>
          <w:bCs w:val="0"/>
          <w:szCs w:val="16"/>
        </w:rPr>
        <w:t>1.1. Regímenes de autorización de ramos de seguros</w:t>
      </w:r>
    </w:p>
    <w:p w14:paraId="5287EF4A" w14:textId="77777777" w:rsidR="00DB3C51" w:rsidRPr="008270B7" w:rsidRDefault="00DB3C51" w:rsidP="008270B7">
      <w:pPr>
        <w:tabs>
          <w:tab w:val="left" w:pos="720"/>
        </w:tabs>
        <w:jc w:val="both"/>
        <w:rPr>
          <w:rFonts w:cs="Arial"/>
          <w:sz w:val="14"/>
          <w:szCs w:val="16"/>
        </w:rPr>
      </w:pPr>
    </w:p>
    <w:p w14:paraId="43F3C6F2" w14:textId="77777777" w:rsidR="00DB3C51" w:rsidRPr="008270B7" w:rsidRDefault="00DB3C51" w:rsidP="008270B7">
      <w:pPr>
        <w:pStyle w:val="Textoindependiente21"/>
        <w:tabs>
          <w:tab w:val="clear" w:pos="851"/>
          <w:tab w:val="left" w:pos="720"/>
        </w:tabs>
        <w:rPr>
          <w:rFonts w:cs="Arial"/>
          <w:sz w:val="16"/>
          <w:szCs w:val="16"/>
        </w:rPr>
      </w:pPr>
      <w:r w:rsidRPr="008270B7">
        <w:rPr>
          <w:rFonts w:cs="Arial"/>
          <w:sz w:val="16"/>
          <w:szCs w:val="16"/>
          <w:lang w:val="es-ES"/>
        </w:rPr>
        <w:t xml:space="preserve">Corresponde a la SFC autorizar los ramos de seguros que ofrezcan las entidades aseguradoras. Este proceso de autorización se sujetará al régimen de autorización general o individual, de acuerdo con las disposiciones contenidas en el presente numeral. </w:t>
      </w:r>
    </w:p>
    <w:p w14:paraId="7A23FC51" w14:textId="77777777" w:rsidR="00DB3C51" w:rsidRPr="008270B7" w:rsidRDefault="00DB3C51" w:rsidP="008270B7">
      <w:pPr>
        <w:pStyle w:val="Textoindependiente21"/>
        <w:tabs>
          <w:tab w:val="clear" w:pos="851"/>
          <w:tab w:val="left" w:pos="720"/>
        </w:tabs>
        <w:rPr>
          <w:rFonts w:cs="Arial"/>
          <w:sz w:val="14"/>
          <w:szCs w:val="16"/>
        </w:rPr>
      </w:pPr>
    </w:p>
    <w:p w14:paraId="5193976D" w14:textId="77777777" w:rsidR="00DB3C51" w:rsidRPr="008270B7" w:rsidRDefault="00DB3C51" w:rsidP="008270B7">
      <w:pPr>
        <w:pStyle w:val="Textoindependiente21"/>
        <w:tabs>
          <w:tab w:val="clear" w:pos="851"/>
          <w:tab w:val="left" w:pos="720"/>
        </w:tabs>
        <w:rPr>
          <w:rFonts w:cs="Arial"/>
          <w:sz w:val="16"/>
          <w:szCs w:val="16"/>
        </w:rPr>
      </w:pPr>
      <w:r w:rsidRPr="008270B7">
        <w:rPr>
          <w:rFonts w:cs="Arial"/>
          <w:sz w:val="16"/>
          <w:szCs w:val="16"/>
          <w:lang w:val="es-ES"/>
        </w:rPr>
        <w:t xml:space="preserve">Las entidades aseguradoras podrán surtir el trámite de autorización a través de cualquiera de los dos regímenes, de acuerdo con las reglas que se indican a continuación en los </w:t>
      </w:r>
      <w:proofErr w:type="spellStart"/>
      <w:r w:rsidRPr="008270B7">
        <w:rPr>
          <w:rFonts w:cs="Arial"/>
          <w:sz w:val="16"/>
          <w:szCs w:val="16"/>
          <w:lang w:val="es-ES"/>
        </w:rPr>
        <w:t>subnumerales</w:t>
      </w:r>
      <w:proofErr w:type="spellEnd"/>
      <w:r w:rsidRPr="008270B7">
        <w:rPr>
          <w:rFonts w:cs="Arial"/>
          <w:sz w:val="16"/>
          <w:szCs w:val="16"/>
          <w:lang w:val="es-ES"/>
        </w:rPr>
        <w:t xml:space="preserve"> 1.1.1. y 1.1.2 del presente Capítulo. </w:t>
      </w:r>
    </w:p>
    <w:p w14:paraId="26250EEF" w14:textId="77777777" w:rsidR="00DB3C51" w:rsidRPr="00354C20" w:rsidRDefault="00DB3C51" w:rsidP="00DB3C51">
      <w:pPr>
        <w:suppressAutoHyphens/>
        <w:jc w:val="both"/>
        <w:rPr>
          <w:rFonts w:cs="Arial"/>
          <w:b/>
          <w:sz w:val="14"/>
          <w:szCs w:val="16"/>
        </w:rPr>
      </w:pPr>
    </w:p>
    <w:p w14:paraId="3A5DE6C2" w14:textId="77777777" w:rsidR="008270B7" w:rsidRPr="008270B7" w:rsidRDefault="008270B7" w:rsidP="008270B7">
      <w:pPr>
        <w:pBdr>
          <w:left w:val="single" w:sz="4" w:space="4" w:color="auto"/>
        </w:pBdr>
        <w:shd w:val="clear" w:color="auto" w:fill="FFFFFF"/>
        <w:jc w:val="both"/>
        <w:rPr>
          <w:rFonts w:cs="Arial"/>
          <w:b/>
          <w:bCs/>
          <w:sz w:val="16"/>
          <w:szCs w:val="16"/>
        </w:rPr>
      </w:pPr>
      <w:r w:rsidRPr="008270B7">
        <w:rPr>
          <w:rFonts w:cs="Arial"/>
          <w:b/>
          <w:bCs/>
          <w:sz w:val="16"/>
          <w:szCs w:val="16"/>
        </w:rPr>
        <w:t xml:space="preserve">No resulta necesaria la aprobación de un nuevo ramo para el ofrecimiento de productos respecto de los cuales se cumplan los requisitos establecidos en este capítulo, que comprendan diversidad de amparos susceptibles de ser explotados bajo los ramos ya autorizados a la entidad. cuando la expedición de amparos de un ramo no autorizado sea significativa, la entidad debe solicitar la correspondiente autorización, sin la cual no puede continuar expidiendo tales amparos. Lo anterior, sin perjuicio de lo establecido en el </w:t>
      </w:r>
      <w:proofErr w:type="spellStart"/>
      <w:r w:rsidRPr="008270B7">
        <w:rPr>
          <w:rFonts w:cs="Arial"/>
          <w:b/>
          <w:bCs/>
          <w:sz w:val="16"/>
          <w:szCs w:val="16"/>
        </w:rPr>
        <w:t>subnumeral</w:t>
      </w:r>
      <w:proofErr w:type="spellEnd"/>
      <w:r w:rsidRPr="008270B7">
        <w:rPr>
          <w:rFonts w:cs="Arial"/>
          <w:b/>
          <w:bCs/>
          <w:sz w:val="16"/>
          <w:szCs w:val="16"/>
        </w:rPr>
        <w:t xml:space="preserve"> 3.3.1 del presente Capítulo. La entidad aseguradora debe dar cumplimiento al marco legal aplicable al amparo cuya producción no se considere significativa.</w:t>
      </w:r>
    </w:p>
    <w:p w14:paraId="73AF4040" w14:textId="29F5F567" w:rsidR="00DB3C51" w:rsidRPr="00CD186B" w:rsidRDefault="00DB3C51" w:rsidP="00DB3C51">
      <w:pPr>
        <w:tabs>
          <w:tab w:val="left" w:pos="720"/>
        </w:tabs>
        <w:autoSpaceDE w:val="0"/>
        <w:autoSpaceDN w:val="0"/>
        <w:adjustRightInd w:val="0"/>
        <w:jc w:val="both"/>
        <w:rPr>
          <w:rFonts w:cs="Arial"/>
          <w:sz w:val="16"/>
          <w:szCs w:val="16"/>
          <w:lang w:val="es-CO"/>
        </w:rPr>
      </w:pPr>
    </w:p>
    <w:p w14:paraId="2540BC08" w14:textId="77777777" w:rsidR="00DB3C51" w:rsidRPr="00CD186B" w:rsidRDefault="00DB3C51" w:rsidP="00DB3C51">
      <w:pPr>
        <w:tabs>
          <w:tab w:val="left" w:pos="720"/>
        </w:tabs>
        <w:autoSpaceDE w:val="0"/>
        <w:autoSpaceDN w:val="0"/>
        <w:adjustRightInd w:val="0"/>
        <w:jc w:val="both"/>
        <w:rPr>
          <w:rFonts w:cs="Arial"/>
          <w:sz w:val="16"/>
          <w:szCs w:val="16"/>
          <w:lang w:val="es-CO"/>
        </w:rPr>
      </w:pPr>
      <w:r w:rsidRPr="00CD186B">
        <w:rPr>
          <w:rFonts w:cs="Arial"/>
          <w:sz w:val="16"/>
          <w:szCs w:val="16"/>
          <w:lang w:val="es-CO"/>
        </w:rPr>
        <w:t>Para los efectos del inciso anterior, se considera que la expedición de amparos es “significativa” cuando quiera que el monto de la producción de una cobertura adicional supere el 15% de la obtenida por las demás coberturas de la póliza.</w:t>
      </w:r>
    </w:p>
    <w:p w14:paraId="3F7A3E39" w14:textId="77777777" w:rsidR="00DB3C51" w:rsidRPr="00CD186B" w:rsidRDefault="00DB3C51" w:rsidP="00DB3C51">
      <w:pPr>
        <w:tabs>
          <w:tab w:val="left" w:pos="720"/>
        </w:tabs>
        <w:autoSpaceDE w:val="0"/>
        <w:autoSpaceDN w:val="0"/>
        <w:adjustRightInd w:val="0"/>
        <w:jc w:val="both"/>
        <w:rPr>
          <w:rFonts w:cs="Arial"/>
          <w:sz w:val="16"/>
          <w:szCs w:val="16"/>
          <w:lang w:val="es-CO"/>
        </w:rPr>
      </w:pPr>
      <w:r w:rsidRPr="00CD186B">
        <w:rPr>
          <w:rFonts w:cs="Arial"/>
          <w:sz w:val="16"/>
          <w:szCs w:val="16"/>
          <w:lang w:val="es-CO"/>
        </w:rPr>
        <w:t xml:space="preserve"> </w:t>
      </w:r>
    </w:p>
    <w:p w14:paraId="4FB1D6D7" w14:textId="77777777" w:rsidR="00DB3C51" w:rsidRPr="00CD186B" w:rsidRDefault="00DB3C51" w:rsidP="00DB3C51">
      <w:pPr>
        <w:pStyle w:val="Textoindependiente21"/>
        <w:tabs>
          <w:tab w:val="clear" w:pos="851"/>
          <w:tab w:val="left" w:pos="720"/>
        </w:tabs>
        <w:rPr>
          <w:rFonts w:cs="Arial"/>
          <w:sz w:val="16"/>
          <w:szCs w:val="16"/>
          <w:lang w:val="es-ES"/>
        </w:rPr>
      </w:pPr>
      <w:r w:rsidRPr="00CD186B">
        <w:rPr>
          <w:rFonts w:cs="Arial"/>
          <w:sz w:val="16"/>
          <w:szCs w:val="16"/>
          <w:lang w:val="es-ES"/>
        </w:rPr>
        <w:t>Los ramos bajo los cuales se pueden operar los diversos productos son los siguientes:</w:t>
      </w:r>
    </w:p>
    <w:p w14:paraId="748BD08B" w14:textId="77777777" w:rsidR="00DB3C51" w:rsidRPr="00CD186B" w:rsidRDefault="00DB3C51" w:rsidP="00DB3C51">
      <w:pPr>
        <w:pStyle w:val="Textoindependiente21"/>
        <w:tabs>
          <w:tab w:val="clear" w:pos="851"/>
          <w:tab w:val="left" w:pos="720"/>
        </w:tabs>
        <w:rPr>
          <w:rFonts w:cs="Arial"/>
          <w:sz w:val="16"/>
          <w:szCs w:val="16"/>
          <w:lang w:val="es-ES"/>
        </w:rPr>
      </w:pPr>
    </w:p>
    <w:p w14:paraId="32CC478D" w14:textId="77777777" w:rsidR="00DB3C51" w:rsidRPr="00CD186B" w:rsidRDefault="00DB3C51" w:rsidP="00DB3C51">
      <w:pPr>
        <w:pStyle w:val="Textoindependiente21"/>
        <w:tabs>
          <w:tab w:val="clear" w:pos="851"/>
          <w:tab w:val="left" w:pos="720"/>
          <w:tab w:val="left" w:pos="1701"/>
          <w:tab w:val="left" w:pos="6480"/>
        </w:tabs>
        <w:ind w:left="993" w:right="1043"/>
        <w:rPr>
          <w:rFonts w:cs="Arial"/>
          <w:b/>
          <w:sz w:val="16"/>
          <w:szCs w:val="16"/>
          <w:u w:val="single"/>
          <w:lang w:val="es-ES"/>
        </w:rPr>
      </w:pPr>
      <w:r w:rsidRPr="00CD186B">
        <w:rPr>
          <w:rFonts w:cs="Arial"/>
          <w:b/>
          <w:sz w:val="16"/>
          <w:szCs w:val="16"/>
          <w:lang w:val="es-ES"/>
        </w:rPr>
        <w:tab/>
      </w:r>
      <w:r w:rsidRPr="00CD186B">
        <w:rPr>
          <w:rFonts w:cs="Arial"/>
          <w:b/>
          <w:sz w:val="16"/>
          <w:szCs w:val="16"/>
          <w:u w:val="single"/>
          <w:lang w:val="es-ES"/>
        </w:rPr>
        <w:t>Ramo</w:t>
      </w:r>
      <w:r w:rsidRPr="00CD186B">
        <w:rPr>
          <w:rFonts w:cs="Arial"/>
          <w:b/>
          <w:sz w:val="16"/>
          <w:szCs w:val="16"/>
          <w:lang w:val="es-ES"/>
        </w:rPr>
        <w:tab/>
      </w:r>
      <w:r w:rsidRPr="00CD186B">
        <w:rPr>
          <w:rFonts w:cs="Arial"/>
          <w:b/>
          <w:sz w:val="16"/>
          <w:szCs w:val="16"/>
          <w:u w:val="single"/>
          <w:lang w:val="es-ES"/>
        </w:rPr>
        <w:t>Código</w:t>
      </w:r>
    </w:p>
    <w:p w14:paraId="61E1CB28" w14:textId="77777777" w:rsidR="00DB3C51" w:rsidRPr="00CD186B" w:rsidRDefault="00DB3C51" w:rsidP="00DB3C51">
      <w:pPr>
        <w:tabs>
          <w:tab w:val="left" w:pos="720"/>
          <w:tab w:val="left" w:pos="1701"/>
          <w:tab w:val="left" w:pos="6480"/>
        </w:tabs>
        <w:ind w:left="993" w:right="1043"/>
        <w:jc w:val="both"/>
        <w:rPr>
          <w:rFonts w:cs="Arial"/>
          <w:b/>
          <w:sz w:val="16"/>
          <w:szCs w:val="16"/>
        </w:rPr>
      </w:pPr>
      <w:r w:rsidRPr="00CD186B">
        <w:rPr>
          <w:rFonts w:cs="Arial"/>
          <w:b/>
          <w:sz w:val="16"/>
          <w:szCs w:val="16"/>
        </w:rPr>
        <w:t xml:space="preserve"> </w:t>
      </w:r>
    </w:p>
    <w:p w14:paraId="2E3B9CB1" w14:textId="77777777" w:rsidR="00DB3C51" w:rsidRPr="00CD186B" w:rsidRDefault="00DB3C51" w:rsidP="00DB3C51">
      <w:pPr>
        <w:pStyle w:val="Textoindependiente21"/>
        <w:tabs>
          <w:tab w:val="clear" w:pos="851"/>
          <w:tab w:val="left" w:pos="720"/>
          <w:tab w:val="left" w:pos="1701"/>
          <w:tab w:val="left" w:pos="6804"/>
        </w:tabs>
        <w:ind w:left="993" w:right="1043"/>
        <w:rPr>
          <w:rFonts w:cs="Arial"/>
          <w:sz w:val="16"/>
          <w:szCs w:val="16"/>
          <w:lang w:val="es-ES"/>
        </w:rPr>
      </w:pPr>
      <w:r w:rsidRPr="00CD186B">
        <w:rPr>
          <w:rFonts w:cs="Arial"/>
          <w:sz w:val="16"/>
          <w:szCs w:val="16"/>
          <w:lang w:val="es-ES"/>
        </w:rPr>
        <w:tab/>
        <w:t>Automóviles</w:t>
      </w:r>
      <w:r w:rsidRPr="00CD186B">
        <w:rPr>
          <w:rFonts w:cs="Arial"/>
          <w:sz w:val="16"/>
          <w:szCs w:val="16"/>
          <w:lang w:val="es-ES"/>
        </w:rPr>
        <w:tab/>
        <w:t>03</w:t>
      </w:r>
    </w:p>
    <w:p w14:paraId="3FF70000"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SOAT</w:t>
      </w:r>
      <w:r w:rsidRPr="00CD186B">
        <w:rPr>
          <w:rFonts w:cs="Arial"/>
          <w:sz w:val="16"/>
          <w:szCs w:val="16"/>
        </w:rPr>
        <w:tab/>
        <w:t>04</w:t>
      </w:r>
    </w:p>
    <w:p w14:paraId="01C7E7B4"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Cumplimiento</w:t>
      </w:r>
      <w:r w:rsidRPr="00CD186B">
        <w:rPr>
          <w:rFonts w:cs="Arial"/>
          <w:sz w:val="16"/>
          <w:szCs w:val="16"/>
        </w:rPr>
        <w:tab/>
        <w:t>05</w:t>
      </w:r>
    </w:p>
    <w:p w14:paraId="6D10A6D9" w14:textId="77777777" w:rsidR="00DB3C51" w:rsidRPr="00CD186B" w:rsidRDefault="00DB3C51" w:rsidP="00DB3C51">
      <w:pPr>
        <w:pStyle w:val="Textoindependiente21"/>
        <w:tabs>
          <w:tab w:val="clear" w:pos="851"/>
          <w:tab w:val="left" w:pos="720"/>
          <w:tab w:val="left" w:pos="1701"/>
          <w:tab w:val="left" w:pos="6804"/>
        </w:tabs>
        <w:ind w:left="993" w:right="1043"/>
        <w:rPr>
          <w:rFonts w:cs="Arial"/>
          <w:sz w:val="16"/>
          <w:szCs w:val="16"/>
          <w:lang w:val="es-ES"/>
        </w:rPr>
      </w:pPr>
      <w:r w:rsidRPr="00CD186B">
        <w:rPr>
          <w:rFonts w:cs="Arial"/>
          <w:sz w:val="16"/>
          <w:szCs w:val="16"/>
        </w:rPr>
        <w:tab/>
        <w:t>Responsabilidad Civil</w:t>
      </w:r>
      <w:r w:rsidRPr="00CD186B">
        <w:rPr>
          <w:rFonts w:cs="Arial"/>
          <w:sz w:val="16"/>
          <w:szCs w:val="16"/>
        </w:rPr>
        <w:tab/>
        <w:t>06</w:t>
      </w:r>
    </w:p>
    <w:p w14:paraId="32DDD775" w14:textId="77777777" w:rsidR="00DB3C51" w:rsidRPr="00CD186B" w:rsidRDefault="00DB3C51" w:rsidP="00DB3C51">
      <w:pPr>
        <w:pStyle w:val="Textoindependiente21"/>
        <w:tabs>
          <w:tab w:val="clear" w:pos="851"/>
          <w:tab w:val="left" w:pos="720"/>
          <w:tab w:val="left" w:pos="1701"/>
          <w:tab w:val="left" w:pos="6804"/>
        </w:tabs>
        <w:ind w:left="993" w:right="1043"/>
        <w:rPr>
          <w:rFonts w:cs="Arial"/>
          <w:sz w:val="16"/>
          <w:szCs w:val="16"/>
          <w:lang w:val="es-ES"/>
        </w:rPr>
      </w:pPr>
      <w:r w:rsidRPr="00CD186B">
        <w:rPr>
          <w:rFonts w:cs="Arial"/>
          <w:sz w:val="16"/>
          <w:szCs w:val="16"/>
          <w:lang w:val="es-ES"/>
        </w:rPr>
        <w:tab/>
        <w:t>Incendio</w:t>
      </w:r>
      <w:r w:rsidRPr="00CD186B">
        <w:rPr>
          <w:rFonts w:cs="Arial"/>
          <w:sz w:val="16"/>
          <w:szCs w:val="16"/>
          <w:lang w:val="es-ES"/>
        </w:rPr>
        <w:tab/>
        <w:t>07</w:t>
      </w:r>
    </w:p>
    <w:p w14:paraId="039F8165"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Terremoto</w:t>
      </w:r>
      <w:r w:rsidRPr="00CD186B">
        <w:rPr>
          <w:rFonts w:cs="Arial"/>
          <w:sz w:val="16"/>
          <w:szCs w:val="16"/>
        </w:rPr>
        <w:tab/>
        <w:t>08</w:t>
      </w:r>
    </w:p>
    <w:p w14:paraId="1933A3A9"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Sustracción</w:t>
      </w:r>
      <w:r w:rsidRPr="00CD186B">
        <w:rPr>
          <w:rFonts w:cs="Arial"/>
          <w:sz w:val="16"/>
          <w:szCs w:val="16"/>
        </w:rPr>
        <w:tab/>
        <w:t>09</w:t>
      </w:r>
    </w:p>
    <w:p w14:paraId="6D1A4510"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Transporte</w:t>
      </w:r>
      <w:r w:rsidRPr="00CD186B">
        <w:rPr>
          <w:rFonts w:cs="Arial"/>
          <w:sz w:val="16"/>
          <w:szCs w:val="16"/>
        </w:rPr>
        <w:tab/>
        <w:t>10</w:t>
      </w:r>
    </w:p>
    <w:p w14:paraId="23D85945"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Corriente Débil</w:t>
      </w:r>
      <w:r w:rsidRPr="00CD186B">
        <w:rPr>
          <w:rFonts w:cs="Arial"/>
          <w:sz w:val="16"/>
          <w:szCs w:val="16"/>
        </w:rPr>
        <w:tab/>
        <w:t>11</w:t>
      </w:r>
    </w:p>
    <w:p w14:paraId="3DE5799E"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Todo Riesgo Contratista</w:t>
      </w:r>
      <w:r w:rsidRPr="00CD186B">
        <w:rPr>
          <w:rFonts w:cs="Arial"/>
          <w:sz w:val="16"/>
          <w:szCs w:val="16"/>
        </w:rPr>
        <w:tab/>
        <w:t>12</w:t>
      </w:r>
    </w:p>
    <w:p w14:paraId="27777C2A" w14:textId="77777777" w:rsidR="00DB3C51" w:rsidRPr="00CD186B" w:rsidRDefault="00DB3C51" w:rsidP="00DB3C51">
      <w:pPr>
        <w:pStyle w:val="Textoindependiente21"/>
        <w:tabs>
          <w:tab w:val="clear" w:pos="851"/>
          <w:tab w:val="left" w:pos="720"/>
          <w:tab w:val="left" w:pos="1701"/>
          <w:tab w:val="left" w:pos="6804"/>
        </w:tabs>
        <w:ind w:left="993" w:right="1043"/>
        <w:rPr>
          <w:rFonts w:cs="Arial"/>
          <w:sz w:val="16"/>
          <w:szCs w:val="16"/>
          <w:lang w:val="es-ES"/>
        </w:rPr>
      </w:pPr>
      <w:r w:rsidRPr="00CD186B">
        <w:rPr>
          <w:rFonts w:cs="Arial"/>
          <w:sz w:val="16"/>
          <w:szCs w:val="16"/>
          <w:lang w:val="es-ES"/>
        </w:rPr>
        <w:tab/>
        <w:t>Manejo</w:t>
      </w:r>
      <w:r w:rsidRPr="00CD186B">
        <w:rPr>
          <w:rFonts w:cs="Arial"/>
          <w:sz w:val="16"/>
          <w:szCs w:val="16"/>
          <w:lang w:val="es-ES"/>
        </w:rPr>
        <w:tab/>
        <w:t>13</w:t>
      </w:r>
    </w:p>
    <w:p w14:paraId="2DE321F6"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Lucro Cesante</w:t>
      </w:r>
      <w:r w:rsidRPr="00CD186B">
        <w:rPr>
          <w:rFonts w:cs="Arial"/>
          <w:sz w:val="16"/>
          <w:szCs w:val="16"/>
        </w:rPr>
        <w:tab/>
        <w:t>14</w:t>
      </w:r>
    </w:p>
    <w:p w14:paraId="7D9AB7E0"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Montaje y Rotura de Maquinaria</w:t>
      </w:r>
      <w:r w:rsidRPr="00CD186B">
        <w:rPr>
          <w:rFonts w:cs="Arial"/>
          <w:sz w:val="16"/>
          <w:szCs w:val="16"/>
        </w:rPr>
        <w:tab/>
        <w:t>15</w:t>
      </w:r>
    </w:p>
    <w:p w14:paraId="338D0097"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Aviación</w:t>
      </w:r>
      <w:r w:rsidRPr="00CD186B">
        <w:rPr>
          <w:rFonts w:cs="Arial"/>
          <w:sz w:val="16"/>
          <w:szCs w:val="16"/>
        </w:rPr>
        <w:tab/>
        <w:t>16</w:t>
      </w:r>
    </w:p>
    <w:p w14:paraId="435C7034"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Navegación y Casco</w:t>
      </w:r>
      <w:r w:rsidRPr="00CD186B">
        <w:rPr>
          <w:rFonts w:cs="Arial"/>
          <w:sz w:val="16"/>
          <w:szCs w:val="16"/>
        </w:rPr>
        <w:tab/>
        <w:t>17</w:t>
      </w:r>
    </w:p>
    <w:p w14:paraId="4C496271"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Minas y Petróleos</w:t>
      </w:r>
      <w:r w:rsidRPr="00CD186B">
        <w:rPr>
          <w:rFonts w:cs="Arial"/>
          <w:sz w:val="16"/>
          <w:szCs w:val="16"/>
        </w:rPr>
        <w:tab/>
        <w:t>18</w:t>
      </w:r>
    </w:p>
    <w:p w14:paraId="365263F1"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Vidrios</w:t>
      </w:r>
      <w:r w:rsidRPr="00CD186B">
        <w:rPr>
          <w:rFonts w:cs="Arial"/>
          <w:sz w:val="16"/>
          <w:szCs w:val="16"/>
        </w:rPr>
        <w:tab/>
        <w:t>19</w:t>
      </w:r>
    </w:p>
    <w:p w14:paraId="11D0D4B1"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Crédito Comercial</w:t>
      </w:r>
      <w:r w:rsidRPr="00CD186B">
        <w:rPr>
          <w:rFonts w:cs="Arial"/>
          <w:sz w:val="16"/>
          <w:szCs w:val="16"/>
        </w:rPr>
        <w:tab/>
        <w:t>20</w:t>
      </w:r>
    </w:p>
    <w:p w14:paraId="137C505D" w14:textId="77777777" w:rsidR="00DB3C51" w:rsidRPr="003A6DD0" w:rsidRDefault="00DB3C51" w:rsidP="00DB3C51">
      <w:pPr>
        <w:tabs>
          <w:tab w:val="left" w:pos="720"/>
          <w:tab w:val="left" w:pos="1701"/>
          <w:tab w:val="left" w:pos="6804"/>
        </w:tabs>
        <w:ind w:left="993" w:right="1043"/>
        <w:jc w:val="both"/>
        <w:rPr>
          <w:rFonts w:cs="Arial"/>
          <w:sz w:val="16"/>
          <w:szCs w:val="16"/>
        </w:rPr>
      </w:pPr>
      <w:r w:rsidRPr="00CD186B">
        <w:rPr>
          <w:rFonts w:cs="Arial"/>
          <w:b/>
          <w:sz w:val="16"/>
          <w:szCs w:val="16"/>
        </w:rPr>
        <w:tab/>
      </w:r>
      <w:r w:rsidRPr="003A6DD0">
        <w:rPr>
          <w:rFonts w:cs="Arial"/>
          <w:sz w:val="16"/>
          <w:szCs w:val="16"/>
        </w:rPr>
        <w:t>Crédito a la Exportación</w:t>
      </w:r>
      <w:r w:rsidRPr="003A6DD0">
        <w:rPr>
          <w:rFonts w:cs="Arial"/>
          <w:sz w:val="16"/>
          <w:szCs w:val="16"/>
        </w:rPr>
        <w:tab/>
        <w:t>21</w:t>
      </w:r>
    </w:p>
    <w:p w14:paraId="2323ACE5" w14:textId="77777777" w:rsidR="00DB3C51" w:rsidRPr="003A6DD0" w:rsidRDefault="00DB3C51" w:rsidP="00DB3C51">
      <w:pPr>
        <w:tabs>
          <w:tab w:val="left" w:pos="720"/>
          <w:tab w:val="left" w:pos="1701"/>
          <w:tab w:val="left" w:pos="6804"/>
        </w:tabs>
        <w:ind w:right="1043"/>
        <w:jc w:val="both"/>
        <w:rPr>
          <w:rFonts w:cs="Arial"/>
          <w:sz w:val="16"/>
          <w:szCs w:val="16"/>
        </w:rPr>
      </w:pPr>
      <w:r w:rsidRPr="003A6DD0">
        <w:rPr>
          <w:rFonts w:cs="Arial"/>
          <w:sz w:val="16"/>
          <w:szCs w:val="16"/>
        </w:rPr>
        <w:tab/>
      </w:r>
      <w:r w:rsidRPr="003A6DD0">
        <w:rPr>
          <w:rFonts w:cs="Arial"/>
          <w:sz w:val="16"/>
          <w:szCs w:val="16"/>
        </w:rPr>
        <w:tab/>
        <w:t>Agropecuario</w:t>
      </w:r>
      <w:r w:rsidRPr="003A6DD0">
        <w:rPr>
          <w:rFonts w:cs="Arial"/>
          <w:sz w:val="16"/>
          <w:szCs w:val="16"/>
        </w:rPr>
        <w:tab/>
        <w:t>22</w:t>
      </w:r>
    </w:p>
    <w:p w14:paraId="2AAC8E02" w14:textId="77777777" w:rsidR="00DB3C51" w:rsidRPr="003A6DD0" w:rsidRDefault="00DB3C51" w:rsidP="00DB3C51">
      <w:pPr>
        <w:tabs>
          <w:tab w:val="left" w:pos="720"/>
          <w:tab w:val="left" w:pos="1701"/>
          <w:tab w:val="left" w:pos="6804"/>
        </w:tabs>
        <w:ind w:left="993" w:right="1043"/>
        <w:jc w:val="both"/>
        <w:rPr>
          <w:rFonts w:cs="Arial"/>
          <w:sz w:val="16"/>
          <w:szCs w:val="16"/>
        </w:rPr>
      </w:pPr>
      <w:r w:rsidRPr="003A6DD0">
        <w:rPr>
          <w:rFonts w:cs="Arial"/>
          <w:sz w:val="16"/>
          <w:szCs w:val="16"/>
        </w:rPr>
        <w:tab/>
        <w:t>Desempleo</w:t>
      </w:r>
      <w:r w:rsidRPr="003A6DD0">
        <w:rPr>
          <w:rFonts w:cs="Arial"/>
          <w:sz w:val="16"/>
          <w:szCs w:val="16"/>
        </w:rPr>
        <w:tab/>
        <w:t>24</w:t>
      </w:r>
    </w:p>
    <w:p w14:paraId="38D09AC6" w14:textId="77777777" w:rsidR="00DB3C51" w:rsidRDefault="00DB3C51" w:rsidP="00DB3C51">
      <w:pPr>
        <w:tabs>
          <w:tab w:val="left" w:pos="720"/>
          <w:tab w:val="left" w:pos="1701"/>
          <w:tab w:val="left" w:pos="6804"/>
        </w:tabs>
        <w:ind w:right="1043"/>
        <w:jc w:val="both"/>
        <w:rPr>
          <w:rFonts w:cs="Arial"/>
          <w:sz w:val="16"/>
          <w:szCs w:val="16"/>
        </w:rPr>
      </w:pPr>
      <w:r w:rsidRPr="003A6DD0">
        <w:rPr>
          <w:rFonts w:cs="Arial"/>
          <w:sz w:val="16"/>
          <w:szCs w:val="16"/>
        </w:rPr>
        <w:t xml:space="preserve"> </w:t>
      </w:r>
      <w:r w:rsidRPr="003A6DD0">
        <w:rPr>
          <w:rFonts w:cs="Arial"/>
          <w:sz w:val="16"/>
          <w:szCs w:val="16"/>
        </w:rPr>
        <w:tab/>
      </w:r>
      <w:r w:rsidRPr="003A6DD0">
        <w:rPr>
          <w:rFonts w:cs="Arial"/>
          <w:sz w:val="16"/>
          <w:szCs w:val="16"/>
        </w:rPr>
        <w:tab/>
        <w:t>Hogar</w:t>
      </w:r>
      <w:r w:rsidRPr="00CD186B">
        <w:rPr>
          <w:rFonts w:cs="Arial"/>
          <w:sz w:val="16"/>
          <w:szCs w:val="16"/>
        </w:rPr>
        <w:tab/>
        <w:t>25</w:t>
      </w:r>
    </w:p>
    <w:p w14:paraId="35CE72AD" w14:textId="77777777" w:rsidR="00DB3C51" w:rsidRPr="00354C20" w:rsidRDefault="00DB3C51" w:rsidP="00DB3C51">
      <w:pPr>
        <w:pBdr>
          <w:left w:val="single" w:sz="4" w:space="4" w:color="auto"/>
        </w:pBdr>
        <w:tabs>
          <w:tab w:val="left" w:pos="720"/>
          <w:tab w:val="left" w:pos="1701"/>
          <w:tab w:val="left" w:pos="6804"/>
        </w:tabs>
        <w:ind w:right="1043"/>
        <w:jc w:val="both"/>
        <w:rPr>
          <w:rFonts w:cs="Arial"/>
          <w:b/>
          <w:sz w:val="16"/>
          <w:szCs w:val="16"/>
        </w:rPr>
      </w:pPr>
      <w:r>
        <w:rPr>
          <w:rFonts w:cs="Arial"/>
          <w:sz w:val="16"/>
          <w:szCs w:val="16"/>
        </w:rPr>
        <w:tab/>
      </w:r>
      <w:r>
        <w:rPr>
          <w:rFonts w:cs="Arial"/>
          <w:sz w:val="16"/>
          <w:szCs w:val="16"/>
        </w:rPr>
        <w:tab/>
      </w:r>
      <w:r w:rsidRPr="00354C20">
        <w:rPr>
          <w:rFonts w:cs="Arial"/>
          <w:b/>
          <w:sz w:val="16"/>
          <w:szCs w:val="16"/>
        </w:rPr>
        <w:t>Decenal</w:t>
      </w:r>
      <w:r w:rsidRPr="00354C20">
        <w:rPr>
          <w:rFonts w:cs="Arial"/>
          <w:b/>
          <w:sz w:val="16"/>
          <w:szCs w:val="16"/>
        </w:rPr>
        <w:tab/>
        <w:t>26</w:t>
      </w:r>
    </w:p>
    <w:p w14:paraId="4C121B08" w14:textId="77777777" w:rsidR="00DB3C51" w:rsidRPr="00CD186B" w:rsidRDefault="00DB3C51" w:rsidP="00DB3C51">
      <w:pPr>
        <w:pStyle w:val="Textoindependiente21"/>
        <w:tabs>
          <w:tab w:val="clear" w:pos="851"/>
          <w:tab w:val="left" w:pos="720"/>
          <w:tab w:val="left" w:pos="1701"/>
          <w:tab w:val="left" w:pos="6804"/>
        </w:tabs>
        <w:ind w:left="993" w:right="1043"/>
        <w:rPr>
          <w:rFonts w:cs="Arial"/>
          <w:sz w:val="16"/>
          <w:szCs w:val="16"/>
        </w:rPr>
      </w:pPr>
      <w:r w:rsidRPr="00CD186B">
        <w:rPr>
          <w:rFonts w:cs="Arial"/>
          <w:sz w:val="16"/>
          <w:szCs w:val="16"/>
        </w:rPr>
        <w:tab/>
        <w:t>Exequias</w:t>
      </w:r>
      <w:r w:rsidRPr="00CD186B">
        <w:rPr>
          <w:rFonts w:cs="Arial"/>
          <w:sz w:val="16"/>
          <w:szCs w:val="16"/>
        </w:rPr>
        <w:tab/>
        <w:t>30</w:t>
      </w:r>
    </w:p>
    <w:p w14:paraId="6DA3E6FB"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Accidentes Personales</w:t>
      </w:r>
      <w:r w:rsidRPr="00CD186B">
        <w:rPr>
          <w:rFonts w:cs="Arial"/>
          <w:sz w:val="16"/>
          <w:szCs w:val="16"/>
        </w:rPr>
        <w:tab/>
        <w:t>31</w:t>
      </w:r>
    </w:p>
    <w:p w14:paraId="43E12CA9"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Colectivo Vida</w:t>
      </w:r>
      <w:r w:rsidRPr="00CD186B">
        <w:rPr>
          <w:rFonts w:cs="Arial"/>
          <w:sz w:val="16"/>
          <w:szCs w:val="16"/>
        </w:rPr>
        <w:tab/>
        <w:t>32</w:t>
      </w:r>
      <w:r w:rsidRPr="00CD186B">
        <w:rPr>
          <w:rFonts w:cs="Arial"/>
          <w:sz w:val="16"/>
          <w:szCs w:val="16"/>
        </w:rPr>
        <w:tab/>
      </w:r>
      <w:r w:rsidRPr="00CD186B">
        <w:rPr>
          <w:rFonts w:cs="Arial"/>
          <w:sz w:val="16"/>
          <w:szCs w:val="16"/>
        </w:rPr>
        <w:tab/>
        <w:t>Educativo</w:t>
      </w:r>
      <w:r w:rsidRPr="00CD186B">
        <w:rPr>
          <w:rFonts w:cs="Arial"/>
          <w:sz w:val="16"/>
          <w:szCs w:val="16"/>
        </w:rPr>
        <w:tab/>
        <w:t>33</w:t>
      </w:r>
    </w:p>
    <w:p w14:paraId="307B2470"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Vida Grupo</w:t>
      </w:r>
      <w:r w:rsidRPr="00CD186B">
        <w:rPr>
          <w:rFonts w:cs="Arial"/>
          <w:sz w:val="16"/>
          <w:szCs w:val="16"/>
        </w:rPr>
        <w:tab/>
        <w:t>34</w:t>
      </w:r>
    </w:p>
    <w:p w14:paraId="7F31BCBE"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Salud</w:t>
      </w:r>
      <w:r w:rsidRPr="00CD186B">
        <w:rPr>
          <w:rFonts w:cs="Arial"/>
          <w:sz w:val="16"/>
          <w:szCs w:val="16"/>
        </w:rPr>
        <w:tab/>
        <w:t>35</w:t>
      </w:r>
    </w:p>
    <w:p w14:paraId="3222BFFB"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Enfermedades de Alto Costo</w:t>
      </w:r>
      <w:r w:rsidRPr="00CD186B">
        <w:rPr>
          <w:rFonts w:cs="Arial"/>
          <w:sz w:val="16"/>
          <w:szCs w:val="16"/>
        </w:rPr>
        <w:tab/>
        <w:t xml:space="preserve">36 </w:t>
      </w:r>
    </w:p>
    <w:p w14:paraId="7A2BDCDE"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Vida Individual</w:t>
      </w:r>
      <w:r w:rsidRPr="00CD186B">
        <w:rPr>
          <w:rFonts w:cs="Arial"/>
          <w:sz w:val="16"/>
          <w:szCs w:val="16"/>
        </w:rPr>
        <w:tab/>
        <w:t>37</w:t>
      </w:r>
    </w:p>
    <w:p w14:paraId="7FC524EF"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Previsional de Invalidez y Sobrevivencia</w:t>
      </w:r>
      <w:r w:rsidRPr="00CD186B">
        <w:rPr>
          <w:rFonts w:cs="Arial"/>
          <w:sz w:val="16"/>
          <w:szCs w:val="16"/>
        </w:rPr>
        <w:tab/>
        <w:t>38</w:t>
      </w:r>
    </w:p>
    <w:p w14:paraId="4926E16E"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Riesgos Laborales</w:t>
      </w:r>
      <w:r w:rsidRPr="00CD186B">
        <w:rPr>
          <w:rFonts w:cs="Arial"/>
          <w:sz w:val="16"/>
          <w:szCs w:val="16"/>
        </w:rPr>
        <w:tab/>
        <w:t>39</w:t>
      </w:r>
    </w:p>
    <w:p w14:paraId="73A3157F"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Pensiones Ley 100</w:t>
      </w:r>
      <w:r w:rsidRPr="00CD186B">
        <w:rPr>
          <w:rFonts w:cs="Arial"/>
          <w:sz w:val="16"/>
          <w:szCs w:val="16"/>
        </w:rPr>
        <w:tab/>
        <w:t>40</w:t>
      </w:r>
    </w:p>
    <w:p w14:paraId="527C8F7D"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Pensiones Voluntarias</w:t>
      </w:r>
      <w:r w:rsidRPr="00CD186B">
        <w:rPr>
          <w:rFonts w:cs="Arial"/>
          <w:sz w:val="16"/>
          <w:szCs w:val="16"/>
        </w:rPr>
        <w:tab/>
        <w:t>41</w:t>
      </w:r>
    </w:p>
    <w:p w14:paraId="0F998D0C"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Pensiones con Conmutación Pensional</w:t>
      </w:r>
      <w:r w:rsidRPr="00CD186B">
        <w:rPr>
          <w:rFonts w:cs="Arial"/>
          <w:sz w:val="16"/>
          <w:szCs w:val="16"/>
        </w:rPr>
        <w:tab/>
        <w:t>42</w:t>
      </w:r>
    </w:p>
    <w:p w14:paraId="10C4C8A6"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Rentas Voluntarias</w:t>
      </w:r>
      <w:r w:rsidRPr="00CD186B">
        <w:rPr>
          <w:rFonts w:cs="Arial"/>
          <w:sz w:val="16"/>
          <w:szCs w:val="16"/>
        </w:rPr>
        <w:tab/>
        <w:t>43</w:t>
      </w:r>
    </w:p>
    <w:p w14:paraId="68524020" w14:textId="77777777" w:rsidR="00DB3C51" w:rsidRPr="00CD186B" w:rsidRDefault="00DB3C51" w:rsidP="00DB3C51">
      <w:pPr>
        <w:tabs>
          <w:tab w:val="left" w:pos="720"/>
          <w:tab w:val="left" w:pos="1701"/>
          <w:tab w:val="left" w:pos="6804"/>
        </w:tabs>
        <w:ind w:left="993" w:right="1043"/>
        <w:jc w:val="both"/>
        <w:rPr>
          <w:rFonts w:cs="Arial"/>
          <w:sz w:val="16"/>
          <w:szCs w:val="16"/>
        </w:rPr>
      </w:pPr>
      <w:r w:rsidRPr="00CD186B">
        <w:rPr>
          <w:rFonts w:cs="Arial"/>
          <w:sz w:val="16"/>
          <w:szCs w:val="16"/>
        </w:rPr>
        <w:tab/>
        <w:t>BEPS</w:t>
      </w:r>
      <w:r w:rsidRPr="00CD186B">
        <w:rPr>
          <w:rFonts w:cs="Arial"/>
          <w:sz w:val="16"/>
          <w:szCs w:val="16"/>
        </w:rPr>
        <w:tab/>
        <w:t>44</w:t>
      </w:r>
    </w:p>
    <w:p w14:paraId="3672F1D4" w14:textId="77777777" w:rsidR="00DB3C51" w:rsidRDefault="00DB3C51" w:rsidP="00DB3C51">
      <w:pPr>
        <w:suppressAutoHyphens/>
        <w:jc w:val="both"/>
        <w:rPr>
          <w:rFonts w:cs="Arial"/>
          <w:b/>
          <w:sz w:val="16"/>
          <w:szCs w:val="16"/>
        </w:rPr>
      </w:pPr>
    </w:p>
    <w:p w14:paraId="72B42290" w14:textId="77777777" w:rsidR="00DB3C51" w:rsidRPr="008270B7" w:rsidRDefault="00DB3C51" w:rsidP="008270B7">
      <w:pPr>
        <w:suppressAutoHyphens/>
        <w:jc w:val="both"/>
        <w:rPr>
          <w:rFonts w:cs="Arial"/>
          <w:sz w:val="16"/>
          <w:szCs w:val="16"/>
        </w:rPr>
      </w:pPr>
      <w:r w:rsidRPr="008270B7">
        <w:rPr>
          <w:rFonts w:cs="Arial"/>
          <w:sz w:val="16"/>
          <w:szCs w:val="16"/>
        </w:rPr>
        <w:t>1.1.1. Régimen de autorización general</w:t>
      </w:r>
    </w:p>
    <w:p w14:paraId="039ED245" w14:textId="77777777" w:rsidR="00DB3C51" w:rsidRPr="008270B7" w:rsidRDefault="00DB3C51" w:rsidP="008270B7">
      <w:pPr>
        <w:suppressAutoHyphens/>
        <w:jc w:val="both"/>
        <w:rPr>
          <w:rFonts w:cs="Arial"/>
          <w:sz w:val="16"/>
          <w:szCs w:val="16"/>
        </w:rPr>
      </w:pPr>
    </w:p>
    <w:p w14:paraId="7EF56087" w14:textId="77777777" w:rsidR="00DB3C51" w:rsidRPr="008270B7" w:rsidRDefault="00DB3C51" w:rsidP="008270B7">
      <w:pPr>
        <w:suppressAutoHyphens/>
        <w:jc w:val="both"/>
        <w:rPr>
          <w:rFonts w:cs="Arial"/>
          <w:sz w:val="16"/>
          <w:szCs w:val="16"/>
        </w:rPr>
      </w:pPr>
      <w:r w:rsidRPr="008270B7">
        <w:rPr>
          <w:rFonts w:cs="Arial"/>
          <w:sz w:val="16"/>
          <w:szCs w:val="16"/>
        </w:rPr>
        <w:t xml:space="preserve">1.1.1.1. Condiciones: Se entienden autorizados de manera general los ramos de seguros que pretendan comercializar las entidades aseguradoras, siempre y cuando cumplan las siguientes condiciones: </w:t>
      </w:r>
    </w:p>
    <w:p w14:paraId="2685157A" w14:textId="77777777" w:rsidR="00DB3C51" w:rsidRPr="008270B7" w:rsidRDefault="00DB3C51" w:rsidP="008270B7">
      <w:pPr>
        <w:suppressAutoHyphens/>
        <w:jc w:val="both"/>
        <w:rPr>
          <w:rFonts w:cs="Arial"/>
          <w:sz w:val="16"/>
          <w:szCs w:val="16"/>
        </w:rPr>
      </w:pPr>
    </w:p>
    <w:p w14:paraId="5A95BBAA" w14:textId="77777777" w:rsidR="00DB3C51" w:rsidRPr="008270B7" w:rsidRDefault="00DB3C51" w:rsidP="008270B7">
      <w:pPr>
        <w:suppressAutoHyphens/>
        <w:jc w:val="both"/>
        <w:rPr>
          <w:rFonts w:cs="Arial"/>
          <w:sz w:val="16"/>
          <w:szCs w:val="16"/>
        </w:rPr>
      </w:pPr>
      <w:r w:rsidRPr="008270B7">
        <w:rPr>
          <w:rFonts w:cs="Arial"/>
          <w:sz w:val="16"/>
          <w:szCs w:val="16"/>
        </w:rPr>
        <w:t>1.1.1.1.1. Que los ramos a autorizar no estén relacionados con el Sistema General de Seguridad Social y BEPS, con excepción del SOAT.</w:t>
      </w:r>
    </w:p>
    <w:p w14:paraId="3D4D5A80" w14:textId="77777777" w:rsidR="00DB3C51" w:rsidRDefault="00DB3C51" w:rsidP="008270B7">
      <w:pPr>
        <w:suppressAutoHyphens/>
        <w:jc w:val="both"/>
        <w:rPr>
          <w:rFonts w:cs="Arial"/>
          <w:b/>
          <w:sz w:val="16"/>
          <w:szCs w:val="16"/>
        </w:rPr>
        <w:sectPr w:rsidR="00DB3C51" w:rsidSect="004233F9">
          <w:headerReference w:type="default" r:id="rId14"/>
          <w:footerReference w:type="default" r:id="rId15"/>
          <w:pgSz w:w="12240" w:h="18720" w:code="14"/>
          <w:pgMar w:top="1418" w:right="1701" w:bottom="1418" w:left="1701" w:header="1134" w:footer="1134" w:gutter="0"/>
          <w:pgNumType w:start="1"/>
          <w:cols w:space="708"/>
          <w:docGrid w:linePitch="360"/>
        </w:sectPr>
      </w:pPr>
      <w:r w:rsidRPr="00354C20">
        <w:rPr>
          <w:rFonts w:cs="Arial"/>
          <w:b/>
          <w:sz w:val="16"/>
          <w:szCs w:val="16"/>
        </w:rPr>
        <w:t xml:space="preserve"> </w:t>
      </w:r>
    </w:p>
    <w:p w14:paraId="45EDA934" w14:textId="77777777" w:rsidR="003D3E9A" w:rsidRPr="004C7249" w:rsidRDefault="003D3E9A" w:rsidP="003D3E9A">
      <w:pPr>
        <w:suppressAutoHyphens/>
        <w:jc w:val="both"/>
        <w:rPr>
          <w:rFonts w:cs="Arial"/>
          <w:bCs/>
          <w:sz w:val="16"/>
          <w:szCs w:val="16"/>
        </w:rPr>
      </w:pPr>
      <w:r w:rsidRPr="004C7249">
        <w:rPr>
          <w:rFonts w:cs="Arial"/>
          <w:bCs/>
          <w:sz w:val="16"/>
          <w:szCs w:val="16"/>
        </w:rPr>
        <w:lastRenderedPageBreak/>
        <w:t xml:space="preserve">1.1.1.1.2. Que la entidad aseguradora tenga más de 1 año de experiencia, contado desde la fecha de solicitud de autorización del nuevo ramo, o que sus accionistas controlantes, directamente o a nivel de grupo, cuenten con dicha experiencia. </w:t>
      </w:r>
    </w:p>
    <w:p w14:paraId="4981090E" w14:textId="77777777" w:rsidR="003D3E9A" w:rsidRPr="004C7249" w:rsidRDefault="003D3E9A" w:rsidP="003D3E9A">
      <w:pPr>
        <w:suppressAutoHyphens/>
        <w:jc w:val="both"/>
        <w:rPr>
          <w:rFonts w:cs="Arial"/>
          <w:bCs/>
          <w:sz w:val="16"/>
          <w:szCs w:val="16"/>
        </w:rPr>
      </w:pPr>
    </w:p>
    <w:p w14:paraId="76453DC4"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1.1.1.1.3. Que la entidad aseguradora o sus administradores en el año inmediatamente anterior a la fecha de solicitud de autorización del nuevo ramo no haya sido objeto de sanciones impuestas por la SFC, por cualquier infracción relacionada con el incumplimiento de deberes legales relativos a la gestión de riesgos. </w:t>
      </w:r>
    </w:p>
    <w:p w14:paraId="595F86AE" w14:textId="77777777" w:rsidR="003D3E9A" w:rsidRPr="004C7249" w:rsidRDefault="003D3E9A" w:rsidP="003D3E9A">
      <w:pPr>
        <w:suppressAutoHyphens/>
        <w:jc w:val="both"/>
        <w:rPr>
          <w:rFonts w:cs="Arial"/>
          <w:sz w:val="12"/>
          <w:szCs w:val="12"/>
        </w:rPr>
      </w:pPr>
    </w:p>
    <w:p w14:paraId="40BEB26E" w14:textId="77777777" w:rsidR="003D3E9A" w:rsidRPr="004C7249" w:rsidRDefault="003D3E9A" w:rsidP="003D3E9A">
      <w:pPr>
        <w:suppressAutoHyphens/>
        <w:jc w:val="both"/>
        <w:rPr>
          <w:rFonts w:cs="Arial"/>
          <w:bCs/>
          <w:sz w:val="16"/>
          <w:szCs w:val="16"/>
        </w:rPr>
      </w:pPr>
      <w:r w:rsidRPr="004C7249">
        <w:rPr>
          <w:rFonts w:cs="Arial"/>
          <w:bCs/>
          <w:sz w:val="16"/>
          <w:szCs w:val="16"/>
        </w:rPr>
        <w:t>1.1.1.1.4. Que la entidad aseguradora no haya sido objeto de la adopción de medidas u órdenes relacionadas con programas de recuperación, saneamiento o adecuación de capital, planes de ajuste por insuficiencia de reservas técnicas o programas de reaseguro o cualquier instituto de salvamento, en los 3 años inmediatamente anteriores a la fecha de solicitud de autorización del nuevo ramo.</w:t>
      </w:r>
    </w:p>
    <w:p w14:paraId="6ECFEB0B" w14:textId="77777777" w:rsidR="003D3E9A" w:rsidRPr="004C7249" w:rsidRDefault="003D3E9A" w:rsidP="003D3E9A">
      <w:pPr>
        <w:suppressAutoHyphens/>
        <w:jc w:val="both"/>
        <w:rPr>
          <w:rFonts w:cs="Arial"/>
          <w:sz w:val="12"/>
          <w:szCs w:val="12"/>
        </w:rPr>
      </w:pPr>
    </w:p>
    <w:p w14:paraId="3978F0F8"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1.1.1.1.5. Que la entidad aseguradora no haya sido objeto de la medida de suspensión de ramos. </w:t>
      </w:r>
    </w:p>
    <w:p w14:paraId="6FC12A31" w14:textId="77777777" w:rsidR="003D3E9A" w:rsidRPr="004C7249" w:rsidRDefault="003D3E9A" w:rsidP="003D3E9A">
      <w:pPr>
        <w:suppressAutoHyphens/>
        <w:jc w:val="both"/>
        <w:rPr>
          <w:rFonts w:cs="Arial"/>
          <w:sz w:val="12"/>
          <w:szCs w:val="12"/>
        </w:rPr>
      </w:pPr>
    </w:p>
    <w:p w14:paraId="607C7A4F"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1.1.1.2. Trámite de autorización general: Para adelantar el trámite de autorización general la entidad aseguradora debe remitir a la SFC la nota técnica del ramo que pretende comercializar junto con el clausulado de los productos del ramo objeto de la solicitud. Lo anterior debe ir acompañado de una certificación suscrita por el representante legal en la que manifieste: </w:t>
      </w:r>
    </w:p>
    <w:p w14:paraId="226D00BE" w14:textId="77777777" w:rsidR="003D3E9A" w:rsidRPr="004C7249" w:rsidRDefault="003D3E9A" w:rsidP="003D3E9A">
      <w:pPr>
        <w:suppressAutoHyphens/>
        <w:jc w:val="both"/>
        <w:rPr>
          <w:rFonts w:cs="Arial"/>
          <w:sz w:val="12"/>
          <w:szCs w:val="12"/>
        </w:rPr>
      </w:pPr>
    </w:p>
    <w:p w14:paraId="4AC23CE8" w14:textId="77777777" w:rsidR="003D3E9A" w:rsidRPr="004C7249" w:rsidRDefault="003D3E9A" w:rsidP="003D3E9A">
      <w:pPr>
        <w:suppressAutoHyphens/>
        <w:jc w:val="both"/>
        <w:rPr>
          <w:rFonts w:cs="Arial"/>
          <w:bCs/>
          <w:sz w:val="16"/>
          <w:szCs w:val="16"/>
        </w:rPr>
      </w:pPr>
      <w:r w:rsidRPr="004C7249">
        <w:rPr>
          <w:rFonts w:cs="Arial"/>
          <w:bCs/>
          <w:sz w:val="16"/>
          <w:szCs w:val="16"/>
        </w:rPr>
        <w:t>1.1.1.2.1. Que las pólizas y notas técnicas que se pretendan comercializar bajo el ramo a autorizar cumplen los requisitos legales establecidos en el Estatuto Orgánico del Sistema Financiero, el Decreto 2555 de 2010, en la CBJ y en las normas especiales que les sean aplicables.</w:t>
      </w:r>
    </w:p>
    <w:p w14:paraId="18A77FDA" w14:textId="77777777" w:rsidR="003D3E9A" w:rsidRPr="004C7249" w:rsidRDefault="003D3E9A" w:rsidP="003D3E9A">
      <w:pPr>
        <w:suppressAutoHyphens/>
        <w:jc w:val="both"/>
        <w:rPr>
          <w:rFonts w:cs="Arial"/>
          <w:sz w:val="12"/>
          <w:szCs w:val="12"/>
        </w:rPr>
      </w:pPr>
    </w:p>
    <w:p w14:paraId="6CE0936D" w14:textId="77777777" w:rsidR="003D3E9A" w:rsidRPr="004C7249" w:rsidRDefault="003D3E9A" w:rsidP="003D3E9A">
      <w:pPr>
        <w:jc w:val="both"/>
        <w:rPr>
          <w:rFonts w:cs="Arial"/>
          <w:bCs/>
          <w:sz w:val="16"/>
          <w:szCs w:val="16"/>
        </w:rPr>
      </w:pPr>
      <w:r w:rsidRPr="004C7249">
        <w:rPr>
          <w:rFonts w:cs="Arial"/>
          <w:bCs/>
          <w:sz w:val="16"/>
          <w:szCs w:val="16"/>
        </w:rPr>
        <w:t xml:space="preserve">1.1.1.2.2. Que las pólizas y notas técnicas que se pretendan comercializar bajo el ramo a autorizar no incluyan estipulaciones contrarias al régimen de protección al consumidor financiero contenido en las Leyes 1328 de 2009, 1793 de 2016, 1836 de 2017, la CBJ y demás normas que las modifiquen, sustituyan o adicionen. </w:t>
      </w:r>
    </w:p>
    <w:p w14:paraId="7E84B681" w14:textId="77777777" w:rsidR="003D3E9A" w:rsidRPr="004C7249" w:rsidRDefault="003D3E9A" w:rsidP="003D3E9A">
      <w:pPr>
        <w:jc w:val="both"/>
        <w:rPr>
          <w:rFonts w:cs="Arial"/>
          <w:sz w:val="12"/>
          <w:szCs w:val="12"/>
        </w:rPr>
      </w:pPr>
    </w:p>
    <w:p w14:paraId="445A6115" w14:textId="77777777" w:rsidR="003D3E9A" w:rsidRPr="004C7249" w:rsidRDefault="003D3E9A" w:rsidP="003D3E9A">
      <w:pPr>
        <w:jc w:val="both"/>
        <w:rPr>
          <w:rFonts w:cs="Arial"/>
          <w:bCs/>
          <w:sz w:val="16"/>
          <w:szCs w:val="16"/>
        </w:rPr>
      </w:pPr>
      <w:r w:rsidRPr="004C7249">
        <w:rPr>
          <w:rFonts w:cs="Arial"/>
          <w:bCs/>
          <w:sz w:val="16"/>
          <w:szCs w:val="16"/>
        </w:rPr>
        <w:t xml:space="preserve">1.1.1.2.3. Que la entidad aseguradora cuenta con políticas, procedimientos y controles idóneos para la verificación de las condiciones establecidas en los </w:t>
      </w:r>
      <w:proofErr w:type="spellStart"/>
      <w:r w:rsidRPr="004C7249">
        <w:rPr>
          <w:rFonts w:cs="Arial"/>
          <w:bCs/>
          <w:sz w:val="16"/>
          <w:szCs w:val="16"/>
        </w:rPr>
        <w:t>subnumerales</w:t>
      </w:r>
      <w:proofErr w:type="spellEnd"/>
      <w:r w:rsidRPr="004C7249">
        <w:rPr>
          <w:rFonts w:cs="Arial"/>
          <w:bCs/>
          <w:sz w:val="16"/>
          <w:szCs w:val="16"/>
        </w:rPr>
        <w:t xml:space="preserve"> 1.1.1.2.1. y 1.1.1.2.2. del presente Capítulo, en todos los productos que se comercialicen con posterioridad a la autorización del ramo. </w:t>
      </w:r>
    </w:p>
    <w:p w14:paraId="5A4B43F6" w14:textId="77777777" w:rsidR="003D3E9A" w:rsidRPr="004C7249" w:rsidRDefault="003D3E9A" w:rsidP="003D3E9A">
      <w:pPr>
        <w:suppressAutoHyphens/>
        <w:jc w:val="both"/>
        <w:rPr>
          <w:rFonts w:cs="Arial"/>
          <w:sz w:val="12"/>
          <w:szCs w:val="12"/>
        </w:rPr>
      </w:pPr>
    </w:p>
    <w:p w14:paraId="147B0C56" w14:textId="77777777" w:rsidR="003D3E9A" w:rsidRPr="004C7249" w:rsidRDefault="003D3E9A" w:rsidP="003D3E9A">
      <w:pPr>
        <w:jc w:val="both"/>
        <w:rPr>
          <w:rFonts w:cs="Arial"/>
          <w:bCs/>
          <w:sz w:val="16"/>
          <w:szCs w:val="16"/>
        </w:rPr>
      </w:pPr>
      <w:r w:rsidRPr="004C7249">
        <w:rPr>
          <w:rFonts w:cs="Arial"/>
          <w:bCs/>
          <w:sz w:val="16"/>
          <w:szCs w:val="16"/>
        </w:rPr>
        <w:t xml:space="preserve">1.1.1.2.4. Que la junta directiva de la entidad aseguradora autorizó la utilización este régimen para el respectivo ramo. Esta decisión deberá constar en el acta de junta directiva en la que se aprobó la apertura del ramo. </w:t>
      </w:r>
    </w:p>
    <w:p w14:paraId="4F94FC29" w14:textId="77777777" w:rsidR="003D3E9A" w:rsidRPr="004C7249" w:rsidRDefault="003D3E9A" w:rsidP="003D3E9A">
      <w:pPr>
        <w:jc w:val="both"/>
        <w:rPr>
          <w:rFonts w:cs="Arial"/>
          <w:sz w:val="10"/>
          <w:szCs w:val="10"/>
        </w:rPr>
      </w:pPr>
    </w:p>
    <w:p w14:paraId="219A7E39"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En todo caso, la SFC podrá establecer la aplicabilidad del régimen de autorización individual, cuando en el ejercicio de supervisión se identifiquen situaciones que lo ameriten.  </w:t>
      </w:r>
    </w:p>
    <w:p w14:paraId="3EE91591" w14:textId="77777777" w:rsidR="003D3E9A" w:rsidRPr="004C7249" w:rsidRDefault="003D3E9A" w:rsidP="003D3E9A">
      <w:pPr>
        <w:suppressAutoHyphens/>
        <w:jc w:val="both"/>
        <w:rPr>
          <w:rFonts w:cs="Arial"/>
          <w:bCs/>
          <w:sz w:val="16"/>
          <w:szCs w:val="16"/>
        </w:rPr>
      </w:pPr>
    </w:p>
    <w:p w14:paraId="0EED32BF"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La SFC podrá ordenar la suspensión y/o revocatoria, en cualquier momento, de los ramos de seguros que no se ajusten a los presupuestos establecidos en el presente régimen sin perjuicio de las sanciones administrativas a que haya lugar. En estos casos, las entidades aseguradoras no podrán acceder al trámite de autorización general para la autorización de nuevos ramos por un término de 3 años contados a partir de la referida suspensión y/o cancelación. </w:t>
      </w:r>
    </w:p>
    <w:p w14:paraId="3CC07F69" w14:textId="77777777" w:rsidR="003D3E9A" w:rsidRPr="004C7249" w:rsidRDefault="003D3E9A" w:rsidP="003D3E9A">
      <w:pPr>
        <w:suppressAutoHyphens/>
        <w:jc w:val="both"/>
        <w:rPr>
          <w:rFonts w:cs="Arial"/>
          <w:bCs/>
          <w:sz w:val="16"/>
          <w:szCs w:val="16"/>
        </w:rPr>
      </w:pPr>
    </w:p>
    <w:p w14:paraId="3FE4B78F" w14:textId="77777777" w:rsidR="003D3E9A" w:rsidRPr="004C7249" w:rsidRDefault="003D3E9A" w:rsidP="003D3E9A">
      <w:pPr>
        <w:suppressAutoHyphens/>
        <w:jc w:val="both"/>
        <w:rPr>
          <w:rFonts w:cs="Arial"/>
          <w:bCs/>
          <w:sz w:val="16"/>
          <w:szCs w:val="16"/>
        </w:rPr>
      </w:pPr>
      <w:r w:rsidRPr="004C7249">
        <w:rPr>
          <w:rFonts w:cs="Arial"/>
          <w:bCs/>
          <w:sz w:val="16"/>
          <w:szCs w:val="16"/>
        </w:rPr>
        <w:t xml:space="preserve">1.1.2. Régimen de autorización individual </w:t>
      </w:r>
    </w:p>
    <w:p w14:paraId="4462CFAD" w14:textId="77777777" w:rsidR="003D3E9A" w:rsidRPr="004C7249" w:rsidRDefault="003D3E9A" w:rsidP="003D3E9A">
      <w:pPr>
        <w:suppressAutoHyphens/>
        <w:jc w:val="both"/>
        <w:rPr>
          <w:rFonts w:cs="Arial"/>
          <w:bCs/>
          <w:sz w:val="16"/>
          <w:szCs w:val="16"/>
        </w:rPr>
      </w:pPr>
    </w:p>
    <w:p w14:paraId="1DC5FAD0" w14:textId="77777777" w:rsidR="003D3E9A" w:rsidRPr="004C7249" w:rsidRDefault="003D3E9A" w:rsidP="003D3E9A">
      <w:pPr>
        <w:tabs>
          <w:tab w:val="left" w:pos="720"/>
        </w:tabs>
        <w:jc w:val="both"/>
        <w:rPr>
          <w:rFonts w:cs="Arial"/>
          <w:bCs/>
          <w:sz w:val="16"/>
          <w:szCs w:val="16"/>
        </w:rPr>
      </w:pPr>
      <w:r w:rsidRPr="004C7249">
        <w:rPr>
          <w:rFonts w:cs="Arial"/>
          <w:bCs/>
          <w:sz w:val="16"/>
          <w:szCs w:val="16"/>
        </w:rPr>
        <w:t xml:space="preserve">Se someterán al régimen de autorización individual las entidades que no cumplan con las condiciones para acceder al régimen de autorización general señaladas en el numeral 1.1.1.1. del presente Capítulo. </w:t>
      </w:r>
    </w:p>
    <w:p w14:paraId="4F33C4AB" w14:textId="77777777" w:rsidR="003D3E9A" w:rsidRPr="004C7249" w:rsidRDefault="003D3E9A" w:rsidP="003D3E9A">
      <w:pPr>
        <w:tabs>
          <w:tab w:val="left" w:pos="720"/>
        </w:tabs>
        <w:jc w:val="both"/>
        <w:rPr>
          <w:rFonts w:cs="Arial"/>
          <w:bCs/>
          <w:sz w:val="16"/>
          <w:szCs w:val="16"/>
        </w:rPr>
      </w:pPr>
    </w:p>
    <w:p w14:paraId="100CBC6D" w14:textId="77777777" w:rsidR="003D3E9A" w:rsidRPr="004C7249" w:rsidRDefault="003D3E9A" w:rsidP="003D3E9A">
      <w:pPr>
        <w:tabs>
          <w:tab w:val="left" w:pos="720"/>
        </w:tabs>
        <w:jc w:val="both"/>
        <w:rPr>
          <w:rFonts w:cs="Arial"/>
          <w:bCs/>
          <w:sz w:val="16"/>
          <w:szCs w:val="16"/>
        </w:rPr>
      </w:pPr>
      <w:r w:rsidRPr="004C7249">
        <w:rPr>
          <w:rFonts w:cs="Arial"/>
          <w:bCs/>
          <w:sz w:val="16"/>
          <w:szCs w:val="16"/>
        </w:rPr>
        <w:t xml:space="preserve">En todo caso, el trámite de solicitud de cancelación de los ramos continuará sujeto al régimen de autorización individual. </w:t>
      </w:r>
    </w:p>
    <w:p w14:paraId="53A54F14" w14:textId="77777777" w:rsidR="003D3E9A" w:rsidRPr="004C7249" w:rsidRDefault="003D3E9A" w:rsidP="003D3E9A">
      <w:pPr>
        <w:suppressAutoHyphens/>
        <w:jc w:val="both"/>
        <w:rPr>
          <w:rFonts w:cs="Arial"/>
          <w:bCs/>
          <w:sz w:val="16"/>
          <w:szCs w:val="16"/>
        </w:rPr>
      </w:pPr>
    </w:p>
    <w:p w14:paraId="07D795ED" w14:textId="77777777" w:rsidR="003D3E9A" w:rsidRPr="004C7249" w:rsidRDefault="003D3E9A" w:rsidP="003D3E9A">
      <w:pPr>
        <w:jc w:val="both"/>
        <w:rPr>
          <w:rFonts w:cs="Arial"/>
          <w:sz w:val="16"/>
          <w:szCs w:val="16"/>
        </w:rPr>
      </w:pPr>
      <w:r w:rsidRPr="004C7249">
        <w:rPr>
          <w:rFonts w:cs="Arial"/>
          <w:sz w:val="16"/>
          <w:szCs w:val="16"/>
        </w:rPr>
        <w:t>1.1.3.  Notas técnicas soporte de la autorización</w:t>
      </w:r>
    </w:p>
    <w:p w14:paraId="749F4889" w14:textId="77777777" w:rsidR="003D3E9A" w:rsidRPr="008270B7" w:rsidRDefault="003D3E9A" w:rsidP="008270B7">
      <w:pPr>
        <w:jc w:val="both"/>
        <w:rPr>
          <w:rFonts w:cs="Arial"/>
          <w:sz w:val="16"/>
          <w:szCs w:val="16"/>
        </w:rPr>
      </w:pPr>
    </w:p>
    <w:p w14:paraId="1DAEACC1" w14:textId="77777777" w:rsidR="003D3E9A" w:rsidRPr="008270B7" w:rsidRDefault="003D3E9A" w:rsidP="008270B7">
      <w:pPr>
        <w:jc w:val="both"/>
        <w:rPr>
          <w:rFonts w:cs="Arial"/>
          <w:sz w:val="16"/>
          <w:szCs w:val="16"/>
          <w:lang w:val="es-CO"/>
        </w:rPr>
      </w:pPr>
      <w:r w:rsidRPr="008270B7">
        <w:rPr>
          <w:rFonts w:cs="Arial"/>
          <w:sz w:val="16"/>
          <w:szCs w:val="16"/>
        </w:rPr>
        <w:t xml:space="preserve">Para efectos de la comercialización de los ramos a que se refiere este </w:t>
      </w:r>
      <w:proofErr w:type="spellStart"/>
      <w:r w:rsidRPr="008270B7">
        <w:rPr>
          <w:rFonts w:cs="Arial"/>
          <w:sz w:val="16"/>
          <w:szCs w:val="16"/>
        </w:rPr>
        <w:t>subnumeral</w:t>
      </w:r>
      <w:proofErr w:type="spellEnd"/>
      <w:r w:rsidRPr="008270B7">
        <w:rPr>
          <w:rFonts w:cs="Arial"/>
          <w:sz w:val="16"/>
          <w:szCs w:val="16"/>
        </w:rPr>
        <w:t xml:space="preserve"> debe mantenerse a disposición de la SFC la nota técnica que sustente la tarifa inicial. Dicha </w:t>
      </w:r>
      <w:r w:rsidRPr="008270B7">
        <w:rPr>
          <w:rFonts w:cs="Arial"/>
          <w:sz w:val="16"/>
          <w:szCs w:val="16"/>
          <w:lang w:val="es-CO"/>
        </w:rPr>
        <w:t xml:space="preserve">nota técnica, además de cumplir con los requisitos señalados en las instrucciones expedidas por esta Superintendencia, debe sustentar la tasa pura de riesgo, expresar de manera específica, los porcentajes por concepto de gastos de administración, comisión de intermediación y utilidad esperada por la aseguradora. Cuando el porcentaje de retención de riesgo resulte inferior o igual al 20%, el componente de tasa pura de riesgo de la nota técnica puede ser aquel que establezca el reasegurador, de acuerdo con las instrucciones que se señalan en el siguiente </w:t>
      </w:r>
      <w:proofErr w:type="spellStart"/>
      <w:r w:rsidRPr="008270B7">
        <w:rPr>
          <w:rFonts w:cs="Arial"/>
          <w:sz w:val="16"/>
          <w:szCs w:val="16"/>
          <w:lang w:val="es-CO"/>
        </w:rPr>
        <w:t>subnumeral</w:t>
      </w:r>
      <w:proofErr w:type="spellEnd"/>
      <w:r w:rsidRPr="008270B7">
        <w:rPr>
          <w:rFonts w:cs="Arial"/>
          <w:sz w:val="16"/>
          <w:szCs w:val="16"/>
          <w:lang w:val="es-CO"/>
        </w:rPr>
        <w:t xml:space="preserve">. Cuando tal porcentaje sea mayor, dicho componente debe ser sustentado por la entidad aseguradora, de acuerdo con lo previsto en el </w:t>
      </w:r>
      <w:proofErr w:type="spellStart"/>
      <w:r w:rsidRPr="008270B7">
        <w:rPr>
          <w:rFonts w:cs="Arial"/>
          <w:sz w:val="16"/>
          <w:szCs w:val="16"/>
          <w:lang w:val="es-CO"/>
        </w:rPr>
        <w:t>subnumeral</w:t>
      </w:r>
      <w:proofErr w:type="spellEnd"/>
      <w:r w:rsidRPr="008270B7">
        <w:rPr>
          <w:rFonts w:cs="Arial"/>
          <w:sz w:val="16"/>
          <w:szCs w:val="16"/>
          <w:lang w:val="es-CO"/>
        </w:rPr>
        <w:t xml:space="preserve"> 1.8 del presente Capítulo. En todo caso, la nota técnica del producto debe ser modificada conforme se ajusten los contratos de reaseguro que la sustentan. Sin perjuicio de lo anterior, las pólizas que hayan sido emitidas con anterioridad al cambio en el programa de reaseguro bajo una nota técnica previa no deben ser modificadas.</w:t>
      </w:r>
    </w:p>
    <w:p w14:paraId="51261AB0" w14:textId="77777777" w:rsidR="003D3E9A" w:rsidRPr="004C7249" w:rsidRDefault="003D3E9A" w:rsidP="003D3E9A">
      <w:pPr>
        <w:jc w:val="both"/>
        <w:rPr>
          <w:rFonts w:cs="Arial"/>
          <w:b/>
          <w:bCs/>
          <w:sz w:val="16"/>
          <w:szCs w:val="16"/>
          <w:lang w:val="es-CO"/>
        </w:rPr>
      </w:pPr>
    </w:p>
    <w:p w14:paraId="3DDAC314" w14:textId="77777777" w:rsidR="003D3E9A" w:rsidRPr="008270B7" w:rsidRDefault="003D3E9A" w:rsidP="008270B7">
      <w:pPr>
        <w:tabs>
          <w:tab w:val="left" w:pos="720"/>
        </w:tabs>
        <w:autoSpaceDE w:val="0"/>
        <w:autoSpaceDN w:val="0"/>
        <w:adjustRightInd w:val="0"/>
        <w:jc w:val="both"/>
        <w:rPr>
          <w:rFonts w:cs="Arial"/>
          <w:sz w:val="16"/>
          <w:szCs w:val="16"/>
          <w:lang w:val="es-CO"/>
        </w:rPr>
      </w:pPr>
      <w:r w:rsidRPr="004C7249">
        <w:rPr>
          <w:rFonts w:cs="Arial"/>
          <w:sz w:val="16"/>
          <w:szCs w:val="16"/>
          <w:lang w:val="es-CO"/>
        </w:rPr>
        <w:t>Tratándose de ramos que generen reserva matemática, las modificaciones que se introduzcan a la nota técnica con posterioridad a la aprobación del ramo</w:t>
      </w:r>
      <w:r w:rsidRPr="004C7249">
        <w:rPr>
          <w:rFonts w:cs="Arial"/>
          <w:b/>
          <w:sz w:val="16"/>
          <w:szCs w:val="16"/>
          <w:lang w:val="es-CO"/>
        </w:rPr>
        <w:t>,</w:t>
      </w:r>
      <w:r w:rsidRPr="004C7249">
        <w:rPr>
          <w:rFonts w:cs="Arial"/>
          <w:sz w:val="16"/>
          <w:szCs w:val="16"/>
          <w:lang w:val="es-CO"/>
        </w:rPr>
        <w:t xml:space="preserve"> se deben remitir a esta entidad junto con sus anexos</w:t>
      </w:r>
      <w:r w:rsidRPr="004C7249">
        <w:rPr>
          <w:rFonts w:cs="Arial"/>
          <w:b/>
          <w:sz w:val="16"/>
          <w:szCs w:val="16"/>
          <w:lang w:val="es-CO"/>
        </w:rPr>
        <w:t>,</w:t>
      </w:r>
      <w:r w:rsidRPr="004C7249">
        <w:rPr>
          <w:rFonts w:cs="Arial"/>
          <w:sz w:val="16"/>
          <w:szCs w:val="16"/>
          <w:lang w:val="es-CO"/>
        </w:rPr>
        <w:t xml:space="preserve"> en forma previa a su utilización, en la forma señalada en la nota 2 del </w:t>
      </w:r>
      <w:proofErr w:type="spellStart"/>
      <w:r w:rsidRPr="004C7249">
        <w:rPr>
          <w:rFonts w:cs="Arial"/>
          <w:sz w:val="16"/>
          <w:szCs w:val="16"/>
          <w:lang w:val="es-CO"/>
        </w:rPr>
        <w:t>subnumeral</w:t>
      </w:r>
      <w:proofErr w:type="spellEnd"/>
      <w:r w:rsidRPr="004C7249">
        <w:rPr>
          <w:rFonts w:cs="Arial"/>
          <w:sz w:val="16"/>
          <w:szCs w:val="16"/>
          <w:lang w:val="es-CO"/>
        </w:rPr>
        <w:t xml:space="preserve"> 1.2.3.1 del presente Capítulo, sin que se entienda que las notas técnicas o sus anexos hagan parte del registro público a que hace referencia dicho numeral. Lo anterior debe entenderse sin perjuicio de lo dispuesto en el </w:t>
      </w:r>
      <w:proofErr w:type="spellStart"/>
      <w:r w:rsidRPr="004C7249">
        <w:rPr>
          <w:rFonts w:cs="Arial"/>
          <w:sz w:val="16"/>
          <w:szCs w:val="16"/>
          <w:lang w:val="es-CO"/>
        </w:rPr>
        <w:t>subnumeral</w:t>
      </w:r>
      <w:proofErr w:type="spellEnd"/>
      <w:r w:rsidRPr="004C7249">
        <w:rPr>
          <w:rFonts w:cs="Arial"/>
          <w:sz w:val="16"/>
          <w:szCs w:val="16"/>
          <w:lang w:val="es-CO"/>
        </w:rPr>
        <w:t xml:space="preserve"> 3.3.1. del presente Capítulo, además del cumplimiento de los </w:t>
      </w:r>
      <w:r w:rsidRPr="008270B7">
        <w:rPr>
          <w:rFonts w:cs="Arial"/>
          <w:sz w:val="16"/>
          <w:szCs w:val="16"/>
          <w:lang w:val="es-CO"/>
        </w:rPr>
        <w:t>requisitos señalados en las instrucciones expedidas por la SFC.</w:t>
      </w:r>
    </w:p>
    <w:p w14:paraId="0C7ABABF" w14:textId="77777777" w:rsidR="003D3E9A" w:rsidRPr="008270B7" w:rsidRDefault="003D3E9A" w:rsidP="008270B7">
      <w:pPr>
        <w:tabs>
          <w:tab w:val="left" w:pos="720"/>
        </w:tabs>
        <w:autoSpaceDE w:val="0"/>
        <w:autoSpaceDN w:val="0"/>
        <w:adjustRightInd w:val="0"/>
        <w:jc w:val="both"/>
        <w:rPr>
          <w:rFonts w:cs="Arial"/>
          <w:sz w:val="16"/>
          <w:szCs w:val="16"/>
          <w:lang w:val="es-CO"/>
        </w:rPr>
      </w:pPr>
    </w:p>
    <w:p w14:paraId="5B5AFB1D" w14:textId="77777777" w:rsidR="003D3E9A" w:rsidRPr="008270B7" w:rsidRDefault="003D3E9A" w:rsidP="008270B7">
      <w:pPr>
        <w:jc w:val="both"/>
        <w:rPr>
          <w:rFonts w:cs="Arial"/>
          <w:sz w:val="16"/>
          <w:szCs w:val="16"/>
          <w:lang w:val="es-CO"/>
        </w:rPr>
      </w:pPr>
      <w:r w:rsidRPr="008270B7">
        <w:rPr>
          <w:rFonts w:cs="Arial"/>
          <w:sz w:val="16"/>
          <w:szCs w:val="16"/>
          <w:lang w:val="es-CO"/>
        </w:rPr>
        <w:t>1.1.3.1 Requisitos mínimos para la definición de la tasa pura de riesgo a partir de la tarifa del reasegurador</w:t>
      </w:r>
    </w:p>
    <w:p w14:paraId="4C607D8C" w14:textId="77777777" w:rsidR="003D3E9A" w:rsidRPr="008270B7" w:rsidRDefault="003D3E9A" w:rsidP="008270B7">
      <w:pPr>
        <w:jc w:val="both"/>
        <w:rPr>
          <w:rFonts w:cs="Arial"/>
          <w:sz w:val="16"/>
          <w:szCs w:val="16"/>
          <w:lang w:val="es-CO"/>
        </w:rPr>
      </w:pPr>
    </w:p>
    <w:p w14:paraId="2CBD40EC" w14:textId="77777777" w:rsidR="003D3E9A" w:rsidRPr="008270B7" w:rsidRDefault="003D3E9A" w:rsidP="008270B7">
      <w:pPr>
        <w:jc w:val="both"/>
        <w:rPr>
          <w:rFonts w:cs="Arial"/>
          <w:sz w:val="16"/>
          <w:szCs w:val="16"/>
          <w:lang w:val="es-CO"/>
        </w:rPr>
      </w:pPr>
      <w:r w:rsidRPr="008270B7">
        <w:rPr>
          <w:rFonts w:cs="Arial"/>
          <w:sz w:val="16"/>
          <w:szCs w:val="16"/>
          <w:lang w:val="es-CO"/>
        </w:rPr>
        <w:t>En los casos en que la tasa pura de riesgo sea establecida por el reasegurador, las entidades aseguradoras deben enviar a los reaseguradores, como mínimo, la siguiente información y mantenerla a disposición de la SFC:</w:t>
      </w:r>
    </w:p>
    <w:p w14:paraId="73706823" w14:textId="77777777" w:rsidR="003D3E9A" w:rsidRPr="008270B7" w:rsidRDefault="003D3E9A" w:rsidP="008270B7">
      <w:pPr>
        <w:jc w:val="both"/>
        <w:rPr>
          <w:rFonts w:cs="Arial"/>
          <w:sz w:val="16"/>
          <w:szCs w:val="16"/>
          <w:lang w:val="es-CO"/>
        </w:rPr>
      </w:pPr>
    </w:p>
    <w:p w14:paraId="3A57EEB7" w14:textId="77777777" w:rsidR="003D3E9A" w:rsidRPr="008270B7" w:rsidRDefault="003D3E9A" w:rsidP="008270B7">
      <w:pPr>
        <w:jc w:val="both"/>
        <w:rPr>
          <w:rFonts w:cs="Arial"/>
          <w:sz w:val="16"/>
          <w:szCs w:val="16"/>
          <w:lang w:val="es-CO"/>
        </w:rPr>
      </w:pPr>
      <w:r w:rsidRPr="008270B7">
        <w:rPr>
          <w:rFonts w:cs="Arial"/>
          <w:sz w:val="16"/>
          <w:szCs w:val="16"/>
          <w:lang w:val="es-CO"/>
        </w:rPr>
        <w:t>i. La descripción y cuantificación del mercado que la entidad aseguradora pretende atender con los productos incluidos en la solicitud de autorización.</w:t>
      </w:r>
    </w:p>
    <w:p w14:paraId="5A6DC0D0" w14:textId="77777777" w:rsidR="003D3E9A" w:rsidRPr="008270B7" w:rsidRDefault="003D3E9A" w:rsidP="008270B7">
      <w:pPr>
        <w:jc w:val="both"/>
        <w:rPr>
          <w:rFonts w:cs="Arial"/>
          <w:sz w:val="16"/>
          <w:szCs w:val="16"/>
          <w:lang w:val="es-CO"/>
        </w:rPr>
      </w:pPr>
      <w:proofErr w:type="spellStart"/>
      <w:r w:rsidRPr="008270B7">
        <w:rPr>
          <w:rFonts w:cs="Arial"/>
          <w:sz w:val="16"/>
          <w:szCs w:val="16"/>
          <w:lang w:val="es-CO"/>
        </w:rPr>
        <w:t>ii</w:t>
      </w:r>
      <w:proofErr w:type="spellEnd"/>
      <w:r w:rsidRPr="008270B7">
        <w:rPr>
          <w:rFonts w:cs="Arial"/>
          <w:sz w:val="16"/>
          <w:szCs w:val="16"/>
          <w:lang w:val="es-CO"/>
        </w:rPr>
        <w:t>. El clausulado y la documentación soporte del producto a comercializar por parte de la entidad aseguradora.</w:t>
      </w:r>
    </w:p>
    <w:p w14:paraId="3F8ADFB4" w14:textId="77777777" w:rsidR="003D3E9A" w:rsidRPr="008270B7" w:rsidRDefault="003D3E9A" w:rsidP="008270B7">
      <w:pPr>
        <w:jc w:val="both"/>
        <w:rPr>
          <w:rFonts w:cs="Arial"/>
          <w:sz w:val="16"/>
          <w:szCs w:val="16"/>
          <w:lang w:val="es-CO"/>
        </w:rPr>
      </w:pPr>
      <w:proofErr w:type="spellStart"/>
      <w:r w:rsidRPr="008270B7">
        <w:rPr>
          <w:rFonts w:cs="Arial"/>
          <w:sz w:val="16"/>
          <w:szCs w:val="16"/>
          <w:lang w:val="es-CO"/>
        </w:rPr>
        <w:t>iii</w:t>
      </w:r>
      <w:proofErr w:type="spellEnd"/>
      <w:r w:rsidRPr="008270B7">
        <w:rPr>
          <w:rFonts w:cs="Arial"/>
          <w:sz w:val="16"/>
          <w:szCs w:val="16"/>
          <w:lang w:val="es-CO"/>
        </w:rPr>
        <w:t>. La información adicional que requiera el reasegurador en el proceso de tarifación.</w:t>
      </w:r>
    </w:p>
    <w:p w14:paraId="4DB4C4B2" w14:textId="77777777" w:rsidR="003D3E9A" w:rsidRPr="008270B7" w:rsidRDefault="003D3E9A" w:rsidP="008270B7">
      <w:pPr>
        <w:tabs>
          <w:tab w:val="left" w:pos="720"/>
        </w:tabs>
        <w:autoSpaceDE w:val="0"/>
        <w:autoSpaceDN w:val="0"/>
        <w:adjustRightInd w:val="0"/>
        <w:jc w:val="both"/>
        <w:rPr>
          <w:rFonts w:cs="Arial"/>
          <w:sz w:val="16"/>
          <w:szCs w:val="16"/>
          <w:lang w:val="es-CO"/>
        </w:rPr>
      </w:pPr>
    </w:p>
    <w:p w14:paraId="2AEAC55F" w14:textId="77777777" w:rsidR="003D3E9A" w:rsidRPr="008270B7" w:rsidRDefault="003D3E9A" w:rsidP="008270B7">
      <w:pPr>
        <w:tabs>
          <w:tab w:val="left" w:pos="720"/>
        </w:tabs>
        <w:jc w:val="both"/>
        <w:rPr>
          <w:rFonts w:cs="Arial"/>
          <w:sz w:val="16"/>
          <w:szCs w:val="16"/>
        </w:rPr>
        <w:sectPr w:rsidR="003D3E9A" w:rsidRPr="008270B7" w:rsidSect="00ED7DE5">
          <w:headerReference w:type="default" r:id="rId16"/>
          <w:footerReference w:type="default" r:id="rId17"/>
          <w:headerReference w:type="first" r:id="rId18"/>
          <w:footerReference w:type="first" r:id="rId19"/>
          <w:pgSz w:w="12240" w:h="18720" w:code="257"/>
          <w:pgMar w:top="1417" w:right="1701" w:bottom="1417" w:left="1701" w:header="709" w:footer="865" w:gutter="0"/>
          <w:cols w:space="708"/>
          <w:docGrid w:linePitch="360"/>
        </w:sectPr>
      </w:pPr>
    </w:p>
    <w:p w14:paraId="0BA285C9" w14:textId="77777777" w:rsidR="003D3E9A" w:rsidRPr="008270B7" w:rsidRDefault="003D3E9A" w:rsidP="008270B7">
      <w:pPr>
        <w:pStyle w:val="Ttulo2"/>
        <w:jc w:val="both"/>
        <w:rPr>
          <w:b w:val="0"/>
          <w:bCs w:val="0"/>
          <w:szCs w:val="16"/>
        </w:rPr>
      </w:pPr>
      <w:bookmarkStart w:id="0" w:name="_Toc269950155"/>
      <w:r w:rsidRPr="008270B7">
        <w:rPr>
          <w:b w:val="0"/>
          <w:bCs w:val="0"/>
          <w:szCs w:val="16"/>
        </w:rPr>
        <w:lastRenderedPageBreak/>
        <w:t>1.2. Pólizas y tarifas</w:t>
      </w:r>
      <w:bookmarkEnd w:id="0"/>
      <w:r w:rsidRPr="008270B7">
        <w:rPr>
          <w:b w:val="0"/>
          <w:bCs w:val="0"/>
          <w:szCs w:val="16"/>
        </w:rPr>
        <w:t xml:space="preserve"> </w:t>
      </w:r>
    </w:p>
    <w:p w14:paraId="74F3334D" w14:textId="77777777" w:rsidR="003D3E9A" w:rsidRPr="008270B7" w:rsidRDefault="003D3E9A" w:rsidP="008270B7">
      <w:pPr>
        <w:tabs>
          <w:tab w:val="left" w:pos="720"/>
        </w:tabs>
        <w:jc w:val="both"/>
        <w:rPr>
          <w:rFonts w:cs="Arial"/>
          <w:sz w:val="16"/>
          <w:szCs w:val="16"/>
        </w:rPr>
      </w:pPr>
    </w:p>
    <w:p w14:paraId="31041586" w14:textId="77777777" w:rsidR="003D3E9A" w:rsidRPr="008270B7" w:rsidRDefault="003D3E9A" w:rsidP="008270B7">
      <w:pPr>
        <w:pStyle w:val="Textoindependiente21"/>
        <w:tabs>
          <w:tab w:val="left" w:pos="720"/>
        </w:tabs>
        <w:rPr>
          <w:rFonts w:cs="Arial"/>
          <w:sz w:val="16"/>
          <w:szCs w:val="16"/>
          <w:lang w:val="es-ES"/>
        </w:rPr>
      </w:pPr>
      <w:r w:rsidRPr="008270B7">
        <w:rPr>
          <w:rFonts w:cs="Arial"/>
          <w:sz w:val="16"/>
          <w:szCs w:val="16"/>
          <w:lang w:val="es-ES"/>
        </w:rPr>
        <w:t xml:space="preserve">Corresponde a la SFC, la aprobación previa de pólizas y tarifas sólo cuando se trata de la autorización inicial a una entidad aseguradora o de la correspondiente para la explotación de un nuevo ramo.  </w:t>
      </w:r>
    </w:p>
    <w:p w14:paraId="04BA7599" w14:textId="77777777" w:rsidR="003D3E9A" w:rsidRPr="008270B7" w:rsidRDefault="003D3E9A" w:rsidP="008270B7">
      <w:pPr>
        <w:tabs>
          <w:tab w:val="left" w:pos="720"/>
        </w:tabs>
        <w:jc w:val="both"/>
        <w:rPr>
          <w:rFonts w:cs="Arial"/>
          <w:sz w:val="16"/>
          <w:szCs w:val="16"/>
        </w:rPr>
      </w:pPr>
    </w:p>
    <w:p w14:paraId="003E1FBD" w14:textId="77777777" w:rsidR="003D3E9A" w:rsidRPr="008270B7" w:rsidRDefault="003D3E9A" w:rsidP="008270B7">
      <w:pPr>
        <w:pStyle w:val="Textoindependiente21"/>
        <w:tabs>
          <w:tab w:val="left" w:pos="720"/>
        </w:tabs>
        <w:rPr>
          <w:rFonts w:cs="Arial"/>
          <w:sz w:val="16"/>
          <w:szCs w:val="16"/>
          <w:lang w:val="es-ES"/>
        </w:rPr>
      </w:pPr>
      <w:r w:rsidRPr="008270B7">
        <w:rPr>
          <w:rFonts w:cs="Arial"/>
          <w:sz w:val="16"/>
          <w:szCs w:val="16"/>
          <w:lang w:val="es-ES"/>
        </w:rPr>
        <w:t>En cualquier caso, las pólizas y las tarifas deben cumplir en todo momento con los requisitos que se indican a continuación:</w:t>
      </w:r>
    </w:p>
    <w:p w14:paraId="6A544F21" w14:textId="77777777" w:rsidR="003D3E9A" w:rsidRPr="008270B7" w:rsidRDefault="003D3E9A" w:rsidP="008270B7">
      <w:pPr>
        <w:tabs>
          <w:tab w:val="left" w:pos="720"/>
        </w:tabs>
        <w:jc w:val="both"/>
        <w:rPr>
          <w:rFonts w:cs="Arial"/>
          <w:sz w:val="16"/>
          <w:szCs w:val="16"/>
        </w:rPr>
      </w:pPr>
    </w:p>
    <w:p w14:paraId="3F6C8B0B" w14:textId="77777777" w:rsidR="003D3E9A" w:rsidRPr="008270B7" w:rsidRDefault="003D3E9A" w:rsidP="008270B7">
      <w:pPr>
        <w:tabs>
          <w:tab w:val="left" w:pos="720"/>
        </w:tabs>
        <w:jc w:val="both"/>
        <w:rPr>
          <w:rFonts w:cs="Arial"/>
          <w:sz w:val="16"/>
          <w:szCs w:val="16"/>
        </w:rPr>
      </w:pPr>
      <w:r w:rsidRPr="008270B7">
        <w:rPr>
          <w:rFonts w:cs="Arial"/>
          <w:sz w:val="16"/>
          <w:szCs w:val="16"/>
        </w:rPr>
        <w:t>1.2.1. Requisitos generales de las pólizas de seguros</w:t>
      </w:r>
    </w:p>
    <w:p w14:paraId="421EF5FE" w14:textId="77777777" w:rsidR="003D3E9A" w:rsidRPr="008270B7" w:rsidRDefault="003D3E9A" w:rsidP="008270B7">
      <w:pPr>
        <w:tabs>
          <w:tab w:val="left" w:pos="720"/>
        </w:tabs>
        <w:jc w:val="both"/>
        <w:rPr>
          <w:rFonts w:cs="Arial"/>
          <w:sz w:val="16"/>
          <w:szCs w:val="16"/>
        </w:rPr>
      </w:pPr>
    </w:p>
    <w:p w14:paraId="38CFF8AD" w14:textId="77777777" w:rsidR="003D3E9A" w:rsidRPr="008270B7" w:rsidRDefault="003D3E9A" w:rsidP="008270B7">
      <w:pPr>
        <w:pStyle w:val="Textoindependiente21"/>
        <w:tabs>
          <w:tab w:val="left" w:pos="720"/>
        </w:tabs>
        <w:rPr>
          <w:rFonts w:cs="Arial"/>
          <w:sz w:val="16"/>
          <w:szCs w:val="16"/>
        </w:rPr>
      </w:pPr>
      <w:r w:rsidRPr="008270B7">
        <w:rPr>
          <w:rFonts w:cs="Arial"/>
          <w:sz w:val="16"/>
          <w:szCs w:val="16"/>
        </w:rPr>
        <w:t>Para el adecuado cumplimiento de lo señalado en el numeral 2 del art. 184 del EOSF las entidades aseguradoras deben redactar las condiciones del contrato de forma que sean claramente legibles y que los tomadores y asegurados puedan comprender e identificar las definiciones de los riesgos amparados y las obligaciones emanadas del negocio celebrado. Para ello, las pólizas deben incluir, cuando menos, la siguiente información:</w:t>
      </w:r>
    </w:p>
    <w:p w14:paraId="1D83D1CD" w14:textId="77777777" w:rsidR="003D3E9A" w:rsidRPr="008270B7" w:rsidRDefault="003D3E9A" w:rsidP="008270B7">
      <w:pPr>
        <w:tabs>
          <w:tab w:val="left" w:pos="720"/>
        </w:tabs>
        <w:jc w:val="both"/>
        <w:rPr>
          <w:rFonts w:cs="Arial"/>
          <w:sz w:val="16"/>
          <w:szCs w:val="16"/>
        </w:rPr>
      </w:pPr>
    </w:p>
    <w:p w14:paraId="65146DDA" w14:textId="77777777" w:rsidR="003D3E9A" w:rsidRPr="008270B7" w:rsidRDefault="003D3E9A" w:rsidP="008270B7">
      <w:pPr>
        <w:tabs>
          <w:tab w:val="left" w:pos="720"/>
        </w:tabs>
        <w:jc w:val="both"/>
        <w:rPr>
          <w:rFonts w:cs="Arial"/>
          <w:sz w:val="16"/>
          <w:szCs w:val="16"/>
        </w:rPr>
      </w:pPr>
      <w:r w:rsidRPr="008270B7">
        <w:rPr>
          <w:rFonts w:cs="Arial"/>
          <w:sz w:val="16"/>
          <w:szCs w:val="16"/>
        </w:rPr>
        <w:t>1.2.1.1. En la carátula</w:t>
      </w:r>
    </w:p>
    <w:p w14:paraId="5BC72FDE" w14:textId="77777777" w:rsidR="003D3E9A" w:rsidRPr="008270B7" w:rsidRDefault="003D3E9A" w:rsidP="008270B7">
      <w:pPr>
        <w:tabs>
          <w:tab w:val="left" w:pos="720"/>
        </w:tabs>
        <w:jc w:val="both"/>
        <w:rPr>
          <w:rFonts w:cs="Arial"/>
          <w:sz w:val="16"/>
          <w:szCs w:val="16"/>
        </w:rPr>
      </w:pPr>
    </w:p>
    <w:p w14:paraId="0384322A" w14:textId="77777777" w:rsidR="003D3E9A" w:rsidRPr="008270B7" w:rsidRDefault="003D3E9A" w:rsidP="008270B7">
      <w:pPr>
        <w:pStyle w:val="Textoindependiente21"/>
        <w:tabs>
          <w:tab w:val="left" w:pos="720"/>
        </w:tabs>
        <w:rPr>
          <w:rFonts w:cs="Arial"/>
          <w:sz w:val="16"/>
          <w:szCs w:val="16"/>
          <w:lang w:val="es-ES"/>
        </w:rPr>
      </w:pPr>
      <w:r w:rsidRPr="008270B7">
        <w:rPr>
          <w:rFonts w:cs="Arial"/>
          <w:sz w:val="16"/>
          <w:szCs w:val="16"/>
          <w:lang w:val="es-ES"/>
        </w:rPr>
        <w:t xml:space="preserve">1.2.1.1.1. Las condiciones particulares previstas en el art. 1047 del </w:t>
      </w:r>
      <w:proofErr w:type="spellStart"/>
      <w:proofErr w:type="gramStart"/>
      <w:r w:rsidRPr="008270B7">
        <w:rPr>
          <w:rFonts w:cs="Arial"/>
          <w:sz w:val="16"/>
          <w:szCs w:val="16"/>
          <w:lang w:val="es-ES"/>
        </w:rPr>
        <w:t>C.Cio</w:t>
      </w:r>
      <w:proofErr w:type="spellEnd"/>
      <w:proofErr w:type="gramEnd"/>
      <w:r w:rsidRPr="008270B7">
        <w:rPr>
          <w:rFonts w:cs="Arial"/>
          <w:sz w:val="16"/>
          <w:szCs w:val="16"/>
          <w:lang w:val="es-ES"/>
        </w:rPr>
        <w:t xml:space="preserve">. </w:t>
      </w:r>
    </w:p>
    <w:p w14:paraId="018538EC" w14:textId="77777777" w:rsidR="003D3E9A" w:rsidRPr="008270B7" w:rsidRDefault="003D3E9A" w:rsidP="008270B7">
      <w:pPr>
        <w:pStyle w:val="Textoindependiente21"/>
        <w:tabs>
          <w:tab w:val="left" w:pos="720"/>
        </w:tabs>
        <w:rPr>
          <w:rFonts w:cs="Arial"/>
          <w:sz w:val="16"/>
          <w:szCs w:val="16"/>
        </w:rPr>
      </w:pPr>
    </w:p>
    <w:p w14:paraId="6EE56A08"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1.2.1.1.2. En caracteres destacados o resaltados, es decir, que se distingan del resto del texto de la impresión, el contenido del inciso 1 del art. 1068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Para el caso de los seguros de vida, el contenido del art. 1152 del mismo ordenamiento legal. </w:t>
      </w:r>
    </w:p>
    <w:p w14:paraId="7221ACDD" w14:textId="77777777" w:rsidR="003D3E9A" w:rsidRPr="008270B7" w:rsidRDefault="003D3E9A" w:rsidP="008270B7">
      <w:pPr>
        <w:pStyle w:val="Textoindependiente2"/>
        <w:tabs>
          <w:tab w:val="left" w:pos="720"/>
        </w:tabs>
        <w:ind w:right="0"/>
        <w:rPr>
          <w:rFonts w:cs="Arial"/>
          <w:b w:val="0"/>
          <w:sz w:val="16"/>
          <w:szCs w:val="16"/>
        </w:rPr>
      </w:pPr>
    </w:p>
    <w:p w14:paraId="10F19EB0" w14:textId="77777777" w:rsidR="003D3E9A" w:rsidRPr="008270B7" w:rsidRDefault="003D3E9A" w:rsidP="008270B7">
      <w:pPr>
        <w:pStyle w:val="Textoindependiente2"/>
        <w:tabs>
          <w:tab w:val="left" w:pos="720"/>
        </w:tabs>
        <w:ind w:right="0"/>
        <w:rPr>
          <w:rFonts w:cs="Arial"/>
          <w:b w:val="0"/>
          <w:sz w:val="16"/>
          <w:szCs w:val="16"/>
        </w:rPr>
      </w:pPr>
      <w:r w:rsidRPr="008270B7">
        <w:rPr>
          <w:rFonts w:cs="Arial"/>
          <w:b w:val="0"/>
          <w:sz w:val="16"/>
          <w:szCs w:val="16"/>
        </w:rPr>
        <w:t>1.2.1.2. A partir de la primera página de la póliza (amparos y exclusiones)</w:t>
      </w:r>
    </w:p>
    <w:p w14:paraId="206177EB" w14:textId="77777777" w:rsidR="003D3E9A" w:rsidRPr="008270B7" w:rsidRDefault="003D3E9A" w:rsidP="008270B7">
      <w:pPr>
        <w:pStyle w:val="Textoindependiente2"/>
        <w:tabs>
          <w:tab w:val="left" w:pos="720"/>
        </w:tabs>
        <w:ind w:right="0"/>
        <w:rPr>
          <w:rFonts w:cs="Arial"/>
          <w:b w:val="0"/>
          <w:sz w:val="16"/>
          <w:szCs w:val="16"/>
        </w:rPr>
      </w:pPr>
    </w:p>
    <w:p w14:paraId="56422BC4"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Los amparos básicos y todas las exclusiones que se estipulen deben consignarse en forma continua a partir de la primera página de la póliza. Estas deben figurar en caracteres destacados o resaltados, según los mismos lineamientos atrás señalados y, en términos claros y concisos que proporcionen al tomador la información precisa sobre el verdadero alcance de la cobertura contratada. No se pueden consignar en las páginas interiores o en cláusulas posteriores exclusiones adicionales en forma distinta a la prevista en este numeral. </w:t>
      </w:r>
    </w:p>
    <w:p w14:paraId="4395DD4A" w14:textId="77777777" w:rsidR="003D3E9A" w:rsidRPr="008270B7" w:rsidRDefault="003D3E9A" w:rsidP="008270B7">
      <w:pPr>
        <w:tabs>
          <w:tab w:val="left" w:pos="720"/>
        </w:tabs>
        <w:jc w:val="both"/>
        <w:rPr>
          <w:rFonts w:cs="Arial"/>
          <w:sz w:val="16"/>
          <w:szCs w:val="16"/>
        </w:rPr>
      </w:pPr>
    </w:p>
    <w:p w14:paraId="6757269D" w14:textId="77777777" w:rsidR="003D3E9A" w:rsidRPr="008270B7" w:rsidRDefault="003D3E9A" w:rsidP="008270B7">
      <w:pPr>
        <w:tabs>
          <w:tab w:val="left" w:pos="720"/>
        </w:tabs>
        <w:jc w:val="both"/>
        <w:rPr>
          <w:rFonts w:cs="Arial"/>
          <w:sz w:val="16"/>
          <w:szCs w:val="16"/>
        </w:rPr>
      </w:pPr>
      <w:r w:rsidRPr="008270B7">
        <w:rPr>
          <w:rFonts w:cs="Arial"/>
          <w:sz w:val="16"/>
          <w:szCs w:val="16"/>
        </w:rPr>
        <w:t>1.2.1.3. Otras condiciones de la póliza</w:t>
      </w:r>
    </w:p>
    <w:p w14:paraId="157140DC" w14:textId="77777777" w:rsidR="003D3E9A" w:rsidRPr="008270B7" w:rsidRDefault="003D3E9A" w:rsidP="008270B7">
      <w:pPr>
        <w:tabs>
          <w:tab w:val="left" w:pos="720"/>
        </w:tabs>
        <w:jc w:val="both"/>
        <w:rPr>
          <w:rFonts w:cs="Arial"/>
          <w:sz w:val="16"/>
          <w:szCs w:val="16"/>
        </w:rPr>
      </w:pPr>
    </w:p>
    <w:p w14:paraId="34D1FA02" w14:textId="77777777" w:rsidR="003D3E9A" w:rsidRPr="008270B7" w:rsidRDefault="003D3E9A" w:rsidP="008270B7">
      <w:pPr>
        <w:pStyle w:val="Textoindependiente21"/>
        <w:tabs>
          <w:tab w:val="left" w:pos="720"/>
        </w:tabs>
        <w:rPr>
          <w:rFonts w:cs="Arial"/>
          <w:sz w:val="16"/>
          <w:szCs w:val="16"/>
          <w:lang w:val="es-ES"/>
        </w:rPr>
      </w:pPr>
      <w:r w:rsidRPr="008270B7">
        <w:rPr>
          <w:rFonts w:cs="Arial"/>
          <w:sz w:val="16"/>
          <w:szCs w:val="16"/>
          <w:lang w:val="es-ES"/>
        </w:rPr>
        <w:t>Además de las condiciones ya señaladas, se deben tener en cuenta los siguientes parámetros:</w:t>
      </w:r>
    </w:p>
    <w:p w14:paraId="76710081" w14:textId="77777777" w:rsidR="003D3E9A" w:rsidRPr="008270B7" w:rsidRDefault="003D3E9A" w:rsidP="008270B7">
      <w:pPr>
        <w:tabs>
          <w:tab w:val="left" w:pos="720"/>
        </w:tabs>
        <w:ind w:firstLine="45"/>
        <w:jc w:val="both"/>
        <w:rPr>
          <w:rFonts w:cs="Arial"/>
          <w:sz w:val="16"/>
          <w:szCs w:val="16"/>
        </w:rPr>
      </w:pPr>
    </w:p>
    <w:p w14:paraId="682D56A3" w14:textId="77777777" w:rsidR="003D3E9A" w:rsidRPr="008270B7" w:rsidRDefault="003D3E9A" w:rsidP="008270B7">
      <w:pPr>
        <w:tabs>
          <w:tab w:val="left" w:pos="720"/>
        </w:tabs>
        <w:jc w:val="both"/>
        <w:rPr>
          <w:rFonts w:cs="Arial"/>
          <w:sz w:val="16"/>
          <w:szCs w:val="16"/>
        </w:rPr>
      </w:pPr>
      <w:r w:rsidRPr="008270B7">
        <w:rPr>
          <w:rFonts w:cs="Arial"/>
          <w:sz w:val="16"/>
          <w:szCs w:val="16"/>
        </w:rPr>
        <w:t>1.2.1.3.1. De conformidad con el numeral 1 del art. 184 del EOSF, el texto no debe incluir alusión alguna que indique que la póliza ha sido aprobada por la SFC.</w:t>
      </w:r>
    </w:p>
    <w:p w14:paraId="2E619C22" w14:textId="77777777" w:rsidR="003D3E9A" w:rsidRPr="008270B7" w:rsidRDefault="003D3E9A" w:rsidP="008270B7">
      <w:pPr>
        <w:tabs>
          <w:tab w:val="left" w:pos="720"/>
        </w:tabs>
        <w:jc w:val="both"/>
        <w:rPr>
          <w:rFonts w:cs="Arial"/>
          <w:sz w:val="16"/>
          <w:szCs w:val="16"/>
        </w:rPr>
      </w:pPr>
    </w:p>
    <w:p w14:paraId="71AF93EC"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1.2.1.3.2. No se deben estipular sanciones distintas a las señaladas en el art. 1058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como consecuencia de la inexactitud o reticencia en la declaración del estado del riesgo.</w:t>
      </w:r>
    </w:p>
    <w:p w14:paraId="77CAC130" w14:textId="77777777" w:rsidR="003D3E9A" w:rsidRPr="008270B7" w:rsidRDefault="003D3E9A" w:rsidP="008270B7">
      <w:pPr>
        <w:tabs>
          <w:tab w:val="left" w:pos="720"/>
        </w:tabs>
        <w:ind w:left="45"/>
        <w:jc w:val="both"/>
        <w:rPr>
          <w:rFonts w:cs="Arial"/>
          <w:sz w:val="16"/>
          <w:szCs w:val="16"/>
        </w:rPr>
      </w:pPr>
    </w:p>
    <w:p w14:paraId="38624367"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1.2.1.3.3. No se debe calificar la reclamación como una obligación del asegurado en desarrollo del contrato, ni señalar términos específicos para su formulación, toda vez que ésta corresponde a la facultad que puede ejercer el asegurado o beneficiario de hacer efectivo su derecho para lo cual sólo encuentra limitación en el tiempo, en los términos de prescripción señalados por el art. 1081 del </w:t>
      </w:r>
      <w:proofErr w:type="spellStart"/>
      <w:proofErr w:type="gramStart"/>
      <w:r w:rsidRPr="008270B7">
        <w:rPr>
          <w:rFonts w:cs="Arial"/>
          <w:sz w:val="16"/>
          <w:szCs w:val="16"/>
        </w:rPr>
        <w:t>C.Cio</w:t>
      </w:r>
      <w:proofErr w:type="spellEnd"/>
      <w:proofErr w:type="gramEnd"/>
      <w:r w:rsidRPr="008270B7">
        <w:rPr>
          <w:rFonts w:cs="Arial"/>
          <w:sz w:val="16"/>
          <w:szCs w:val="16"/>
        </w:rPr>
        <w:t>. Lo anterior, sin perjuicio de que la entidad contemple en la póliza la necesidad de efectuar la reclamación como un mecanismo para que el asegurado ejercite su derecho.</w:t>
      </w:r>
    </w:p>
    <w:p w14:paraId="2CC08EBA" w14:textId="77777777" w:rsidR="003D3E9A" w:rsidRPr="008270B7" w:rsidRDefault="003D3E9A" w:rsidP="008270B7">
      <w:pPr>
        <w:tabs>
          <w:tab w:val="left" w:pos="720"/>
        </w:tabs>
        <w:jc w:val="both"/>
        <w:rPr>
          <w:rFonts w:cs="Arial"/>
          <w:sz w:val="16"/>
          <w:szCs w:val="16"/>
        </w:rPr>
      </w:pPr>
    </w:p>
    <w:p w14:paraId="723033E8" w14:textId="77777777" w:rsidR="003D3E9A" w:rsidRPr="008270B7" w:rsidRDefault="003D3E9A" w:rsidP="008270B7">
      <w:pPr>
        <w:tabs>
          <w:tab w:val="left" w:pos="720"/>
        </w:tabs>
        <w:jc w:val="both"/>
        <w:rPr>
          <w:rFonts w:cs="Arial"/>
          <w:sz w:val="16"/>
          <w:szCs w:val="16"/>
        </w:rPr>
      </w:pPr>
      <w:r w:rsidRPr="008270B7">
        <w:rPr>
          <w:rFonts w:cs="Arial"/>
          <w:sz w:val="16"/>
          <w:szCs w:val="16"/>
        </w:rPr>
        <w:t>1.2.1.3.4. En relación con la cláusula compromisoria que se estipula en algunas pólizas, la misma debe regirse por lo dispuesto en el Decreto 1818 de 1998 y las disposiciones concordantes.</w:t>
      </w:r>
    </w:p>
    <w:p w14:paraId="3E445048" w14:textId="77777777" w:rsidR="003D3E9A" w:rsidRPr="008270B7" w:rsidRDefault="003D3E9A" w:rsidP="008270B7">
      <w:pPr>
        <w:tabs>
          <w:tab w:val="left" w:pos="720"/>
        </w:tabs>
        <w:jc w:val="both"/>
        <w:rPr>
          <w:rFonts w:cs="Arial"/>
          <w:sz w:val="16"/>
          <w:szCs w:val="16"/>
        </w:rPr>
      </w:pPr>
    </w:p>
    <w:p w14:paraId="5DC89D84"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1.2.1.3.5. Con respecto al término para efectuar el pago de la indemnización, éste debe fijarse en 1 mes contado a partir de la presentación de la reclamación y no en 30 días, de conformidad con lo establecido en los arts. 21 de la Ley 35 de 1993 y 1080 del </w:t>
      </w:r>
      <w:proofErr w:type="spellStart"/>
      <w:proofErr w:type="gramStart"/>
      <w:r w:rsidRPr="008270B7">
        <w:rPr>
          <w:rFonts w:cs="Arial"/>
          <w:sz w:val="16"/>
          <w:szCs w:val="16"/>
        </w:rPr>
        <w:t>C.Cio</w:t>
      </w:r>
      <w:proofErr w:type="spellEnd"/>
      <w:proofErr w:type="gramEnd"/>
      <w:r w:rsidRPr="008270B7">
        <w:rPr>
          <w:rFonts w:cs="Arial"/>
          <w:sz w:val="16"/>
          <w:szCs w:val="16"/>
        </w:rPr>
        <w:t>.</w:t>
      </w:r>
    </w:p>
    <w:p w14:paraId="744FB61A" w14:textId="77777777" w:rsidR="003D3E9A" w:rsidRPr="008270B7" w:rsidRDefault="003D3E9A" w:rsidP="008270B7">
      <w:pPr>
        <w:tabs>
          <w:tab w:val="left" w:pos="720"/>
        </w:tabs>
        <w:jc w:val="both"/>
        <w:rPr>
          <w:rFonts w:cs="Arial"/>
          <w:sz w:val="16"/>
          <w:szCs w:val="16"/>
        </w:rPr>
      </w:pPr>
    </w:p>
    <w:p w14:paraId="310A0BE4"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1.2.1.3.6. Conforme con los términos del art. 1075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el aviso de siniestro no requiere formalidad escrita.  En consecuencia, al exigir dicha formalidad para las notificaciones que se efectúan en desarrollo del contrato es preciso consignar claramente la salvedad de que trata la norma precitada.</w:t>
      </w:r>
    </w:p>
    <w:p w14:paraId="6976FAD3" w14:textId="77777777" w:rsidR="003D3E9A" w:rsidRPr="008270B7" w:rsidRDefault="003D3E9A" w:rsidP="008270B7">
      <w:pPr>
        <w:tabs>
          <w:tab w:val="left" w:pos="720"/>
        </w:tabs>
        <w:jc w:val="both"/>
        <w:rPr>
          <w:rFonts w:cs="Arial"/>
          <w:sz w:val="16"/>
          <w:szCs w:val="16"/>
        </w:rPr>
      </w:pPr>
    </w:p>
    <w:p w14:paraId="1481580E"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1.2.1.3.7. Respecto del seguro de responsabilidad civil, el art. 1133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señala las condiciones necesarias para acceder al pago de la indemnización, no siendo viable la inclusión de requisitos adicionales.</w:t>
      </w:r>
    </w:p>
    <w:p w14:paraId="411BDE0A" w14:textId="77777777" w:rsidR="003D3E9A" w:rsidRPr="008270B7" w:rsidRDefault="003D3E9A" w:rsidP="008270B7">
      <w:pPr>
        <w:tabs>
          <w:tab w:val="left" w:pos="720"/>
        </w:tabs>
        <w:jc w:val="both"/>
        <w:rPr>
          <w:rFonts w:cs="Arial"/>
          <w:sz w:val="16"/>
          <w:szCs w:val="16"/>
        </w:rPr>
      </w:pPr>
    </w:p>
    <w:p w14:paraId="6521EE03"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1.2.1.3.8. En la estructuración de los amparos de responsabilidad civil debe tenerse en cuenta lo establecido en </w:t>
      </w:r>
      <w:proofErr w:type="gramStart"/>
      <w:r w:rsidRPr="008270B7">
        <w:rPr>
          <w:rFonts w:cs="Arial"/>
          <w:sz w:val="16"/>
          <w:szCs w:val="16"/>
        </w:rPr>
        <w:t>el  art.</w:t>
      </w:r>
      <w:proofErr w:type="gramEnd"/>
      <w:r w:rsidRPr="008270B7">
        <w:rPr>
          <w:rFonts w:cs="Arial"/>
          <w:sz w:val="16"/>
          <w:szCs w:val="16"/>
        </w:rPr>
        <w:t xml:space="preserve"> 1127 </w:t>
      </w:r>
      <w:proofErr w:type="spellStart"/>
      <w:proofErr w:type="gramStart"/>
      <w:r w:rsidRPr="008270B7">
        <w:rPr>
          <w:rFonts w:cs="Arial"/>
          <w:sz w:val="16"/>
          <w:szCs w:val="16"/>
        </w:rPr>
        <w:t>C.Cio</w:t>
      </w:r>
      <w:proofErr w:type="spellEnd"/>
      <w:proofErr w:type="gramEnd"/>
      <w:r w:rsidRPr="008270B7">
        <w:rPr>
          <w:rFonts w:cs="Arial"/>
          <w:sz w:val="16"/>
          <w:szCs w:val="16"/>
        </w:rPr>
        <w:t xml:space="preserve"> el cual indica que se trata de un seguro a favor de terceros y erige en beneficiario </w:t>
      </w:r>
      <w:proofErr w:type="gramStart"/>
      <w:r w:rsidRPr="008270B7">
        <w:rPr>
          <w:rFonts w:cs="Arial"/>
          <w:sz w:val="16"/>
          <w:szCs w:val="16"/>
        </w:rPr>
        <w:t>del mismo</w:t>
      </w:r>
      <w:proofErr w:type="gramEnd"/>
      <w:r w:rsidRPr="008270B7">
        <w:rPr>
          <w:rFonts w:cs="Arial"/>
          <w:sz w:val="16"/>
          <w:szCs w:val="16"/>
        </w:rPr>
        <w:t xml:space="preserve"> a la víctima.</w:t>
      </w:r>
    </w:p>
    <w:p w14:paraId="61B4D4C3" w14:textId="77777777" w:rsidR="003D3E9A" w:rsidRPr="008270B7" w:rsidRDefault="003D3E9A" w:rsidP="008270B7">
      <w:pPr>
        <w:tabs>
          <w:tab w:val="left" w:pos="720"/>
        </w:tabs>
        <w:jc w:val="both"/>
        <w:rPr>
          <w:rFonts w:cs="Arial"/>
          <w:sz w:val="16"/>
          <w:szCs w:val="16"/>
        </w:rPr>
      </w:pPr>
    </w:p>
    <w:p w14:paraId="7153175A"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1.2.1.3.9. En los anexos es requisito indispensable la incorporación de la identificación precisa de la póliza a la cual acceden, al tenor del art. 1049 del </w:t>
      </w:r>
      <w:proofErr w:type="spellStart"/>
      <w:proofErr w:type="gramStart"/>
      <w:r w:rsidRPr="008270B7">
        <w:rPr>
          <w:rFonts w:cs="Arial"/>
          <w:sz w:val="16"/>
          <w:szCs w:val="16"/>
        </w:rPr>
        <w:t>C.Cio</w:t>
      </w:r>
      <w:proofErr w:type="spellEnd"/>
      <w:proofErr w:type="gramEnd"/>
      <w:r w:rsidRPr="008270B7">
        <w:rPr>
          <w:rFonts w:cs="Arial"/>
          <w:sz w:val="16"/>
          <w:szCs w:val="16"/>
        </w:rPr>
        <w:t>.</w:t>
      </w:r>
    </w:p>
    <w:p w14:paraId="1BB3C1B9" w14:textId="77777777" w:rsidR="003D3E9A" w:rsidRPr="008270B7" w:rsidRDefault="003D3E9A" w:rsidP="008270B7">
      <w:pPr>
        <w:tabs>
          <w:tab w:val="left" w:pos="720"/>
        </w:tabs>
        <w:jc w:val="both"/>
        <w:rPr>
          <w:rFonts w:cs="Arial"/>
          <w:sz w:val="16"/>
          <w:szCs w:val="16"/>
        </w:rPr>
      </w:pPr>
    </w:p>
    <w:p w14:paraId="5A1B8A95" w14:textId="77777777" w:rsidR="003D3E9A" w:rsidRPr="008270B7" w:rsidRDefault="003D3E9A" w:rsidP="008270B7">
      <w:pPr>
        <w:tabs>
          <w:tab w:val="left" w:pos="720"/>
        </w:tabs>
        <w:jc w:val="both"/>
        <w:rPr>
          <w:rFonts w:cs="Arial"/>
          <w:sz w:val="16"/>
          <w:szCs w:val="16"/>
        </w:rPr>
      </w:pPr>
      <w:r w:rsidRPr="008270B7">
        <w:rPr>
          <w:rFonts w:cs="Arial"/>
          <w:sz w:val="16"/>
          <w:szCs w:val="16"/>
        </w:rPr>
        <w:t>1.2.2. Requisitos generales de las tarifas</w:t>
      </w:r>
    </w:p>
    <w:p w14:paraId="6DA04EB1" w14:textId="77777777" w:rsidR="003D3E9A" w:rsidRPr="008270B7" w:rsidRDefault="003D3E9A" w:rsidP="008270B7">
      <w:pPr>
        <w:tabs>
          <w:tab w:val="left" w:pos="720"/>
        </w:tabs>
        <w:jc w:val="both"/>
        <w:rPr>
          <w:rFonts w:cs="Arial"/>
          <w:sz w:val="16"/>
          <w:szCs w:val="16"/>
        </w:rPr>
      </w:pPr>
    </w:p>
    <w:p w14:paraId="39F7D0F7" w14:textId="77777777" w:rsidR="003D3E9A" w:rsidRPr="008270B7" w:rsidRDefault="003D3E9A" w:rsidP="008270B7">
      <w:pPr>
        <w:tabs>
          <w:tab w:val="left" w:pos="720"/>
        </w:tabs>
        <w:jc w:val="both"/>
        <w:rPr>
          <w:rFonts w:cs="Arial"/>
          <w:sz w:val="16"/>
          <w:szCs w:val="16"/>
        </w:rPr>
      </w:pPr>
      <w:r w:rsidRPr="008270B7">
        <w:rPr>
          <w:rFonts w:cs="Arial"/>
          <w:sz w:val="16"/>
          <w:szCs w:val="16"/>
        </w:rPr>
        <w:t>En los estudios técnicos y estadísticos que sustenten las tarifas deben observarse los principios a que se refiere el numeral 3 del art. 184 del EOSF, así:</w:t>
      </w:r>
    </w:p>
    <w:p w14:paraId="73186686" w14:textId="77777777" w:rsidR="003D3E9A" w:rsidRPr="008270B7" w:rsidRDefault="003D3E9A" w:rsidP="008270B7">
      <w:pPr>
        <w:tabs>
          <w:tab w:val="left" w:pos="720"/>
        </w:tabs>
        <w:jc w:val="both"/>
        <w:rPr>
          <w:rFonts w:cs="Arial"/>
          <w:sz w:val="16"/>
          <w:szCs w:val="16"/>
        </w:rPr>
      </w:pPr>
    </w:p>
    <w:p w14:paraId="0A2217DF" w14:textId="77777777" w:rsidR="003D3E9A" w:rsidRPr="008270B7" w:rsidRDefault="003D3E9A" w:rsidP="008270B7">
      <w:pPr>
        <w:tabs>
          <w:tab w:val="left" w:pos="720"/>
        </w:tabs>
        <w:jc w:val="both"/>
        <w:rPr>
          <w:rFonts w:cs="Arial"/>
          <w:sz w:val="16"/>
          <w:szCs w:val="16"/>
        </w:rPr>
      </w:pPr>
      <w:r w:rsidRPr="008270B7">
        <w:rPr>
          <w:rFonts w:cs="Arial"/>
          <w:sz w:val="16"/>
          <w:szCs w:val="16"/>
        </w:rPr>
        <w:t>1.2.2.1. Equidad: La prima y el riesgo deben presentar una correlación positiva, de acuerdo con las condiciones objetivas del riesgo.</w:t>
      </w:r>
    </w:p>
    <w:p w14:paraId="58FA7CC8" w14:textId="77777777" w:rsidR="003D3E9A" w:rsidRPr="008270B7" w:rsidRDefault="003D3E9A" w:rsidP="008270B7">
      <w:pPr>
        <w:tabs>
          <w:tab w:val="left" w:pos="720"/>
        </w:tabs>
        <w:jc w:val="both"/>
        <w:rPr>
          <w:rFonts w:cs="Arial"/>
          <w:sz w:val="16"/>
          <w:szCs w:val="16"/>
        </w:rPr>
      </w:pPr>
    </w:p>
    <w:p w14:paraId="1C91FC65" w14:textId="77777777" w:rsidR="003D3E9A" w:rsidRPr="008270B7" w:rsidRDefault="003D3E9A" w:rsidP="008270B7">
      <w:pPr>
        <w:tabs>
          <w:tab w:val="left" w:pos="720"/>
        </w:tabs>
        <w:jc w:val="both"/>
        <w:rPr>
          <w:rFonts w:cs="Arial"/>
          <w:sz w:val="16"/>
          <w:szCs w:val="16"/>
        </w:rPr>
      </w:pPr>
      <w:r w:rsidRPr="008270B7">
        <w:rPr>
          <w:rFonts w:cs="Arial"/>
          <w:sz w:val="16"/>
          <w:szCs w:val="16"/>
        </w:rPr>
        <w:t>1.2.2.2. Suficiencia: La tarifa debe cubrir razonablemente la tasa de riesgo y los costos propios de la operación, tales como los costos de adquisición y los administrativos, así como las utilidades.</w:t>
      </w:r>
    </w:p>
    <w:p w14:paraId="278C6C36" w14:textId="77777777" w:rsidR="003D3E9A" w:rsidRPr="008270B7" w:rsidRDefault="003D3E9A" w:rsidP="008270B7">
      <w:pPr>
        <w:tabs>
          <w:tab w:val="left" w:pos="720"/>
        </w:tabs>
        <w:jc w:val="both"/>
        <w:rPr>
          <w:rFonts w:cs="Arial"/>
          <w:sz w:val="16"/>
          <w:szCs w:val="16"/>
        </w:rPr>
      </w:pPr>
    </w:p>
    <w:p w14:paraId="78C8DF01" w14:textId="77777777" w:rsidR="003D3E9A" w:rsidRPr="008270B7" w:rsidRDefault="003D3E9A" w:rsidP="008270B7">
      <w:pPr>
        <w:tabs>
          <w:tab w:val="left" w:pos="720"/>
        </w:tabs>
        <w:jc w:val="both"/>
        <w:rPr>
          <w:rFonts w:cs="Arial"/>
          <w:sz w:val="16"/>
          <w:szCs w:val="16"/>
        </w:rPr>
      </w:pPr>
      <w:r w:rsidRPr="008270B7">
        <w:rPr>
          <w:rFonts w:cs="Arial"/>
          <w:sz w:val="16"/>
          <w:szCs w:val="16"/>
        </w:rPr>
        <w:t>1.2.2.3. Homogeneidad: Los elementos de la muestra objeto de estudio deben tener características comunes de tipo cualitativo y cuantitativo. Además, deben escogerse cumpliendo supuestos de aleatoriedad e independencia.</w:t>
      </w:r>
    </w:p>
    <w:p w14:paraId="4BD7F75E" w14:textId="2B806C56" w:rsidR="003D3E9A" w:rsidRPr="008270B7" w:rsidRDefault="003D3E9A" w:rsidP="008270B7">
      <w:pPr>
        <w:tabs>
          <w:tab w:val="left" w:pos="720"/>
        </w:tabs>
        <w:jc w:val="both"/>
        <w:rPr>
          <w:rFonts w:cs="Arial"/>
          <w:sz w:val="16"/>
          <w:szCs w:val="16"/>
        </w:rPr>
        <w:sectPr w:rsidR="003D3E9A" w:rsidRPr="008270B7" w:rsidSect="00697CF2">
          <w:footerReference w:type="default" r:id="rId20"/>
          <w:headerReference w:type="first" r:id="rId21"/>
          <w:footerReference w:type="first" r:id="rId22"/>
          <w:pgSz w:w="12240" w:h="18720" w:code="257"/>
          <w:pgMar w:top="1417" w:right="1701" w:bottom="1417" w:left="1701" w:header="709" w:footer="865" w:gutter="0"/>
          <w:cols w:space="708"/>
          <w:titlePg/>
          <w:docGrid w:linePitch="360"/>
        </w:sectPr>
      </w:pPr>
    </w:p>
    <w:p w14:paraId="6E71ACB3" w14:textId="327B09ED" w:rsidR="001B0554" w:rsidRPr="008270B7" w:rsidRDefault="001B0554" w:rsidP="008270B7">
      <w:pPr>
        <w:tabs>
          <w:tab w:val="left" w:pos="720"/>
        </w:tabs>
        <w:jc w:val="both"/>
        <w:rPr>
          <w:rFonts w:cs="Arial"/>
          <w:sz w:val="16"/>
          <w:szCs w:val="16"/>
        </w:rPr>
      </w:pPr>
      <w:r w:rsidRPr="008270B7">
        <w:rPr>
          <w:rFonts w:cs="Arial"/>
          <w:sz w:val="16"/>
          <w:szCs w:val="16"/>
        </w:rPr>
        <w:lastRenderedPageBreak/>
        <w:t>1.2.2.4. Representatividad: El tamaño de la muestra debe corresponder a un número objetivo de elementos de la población que garantice un nivel de significación razonable y cubra un período adecuado, de manera que el cálculo de los estimadores presente un bajo nivel de error.</w:t>
      </w:r>
    </w:p>
    <w:p w14:paraId="19FB4365" w14:textId="77777777" w:rsidR="001B0554" w:rsidRPr="008270B7" w:rsidRDefault="001B0554" w:rsidP="008270B7">
      <w:pPr>
        <w:tabs>
          <w:tab w:val="left" w:pos="720"/>
        </w:tabs>
        <w:jc w:val="both"/>
        <w:rPr>
          <w:rFonts w:cs="Arial"/>
          <w:sz w:val="16"/>
          <w:szCs w:val="16"/>
        </w:rPr>
      </w:pPr>
    </w:p>
    <w:p w14:paraId="5755309D" w14:textId="77777777" w:rsidR="001B0554" w:rsidRPr="008270B7" w:rsidRDefault="001B0554" w:rsidP="008270B7">
      <w:pPr>
        <w:tabs>
          <w:tab w:val="left" w:pos="720"/>
        </w:tabs>
        <w:jc w:val="both"/>
        <w:rPr>
          <w:rFonts w:cs="Arial"/>
          <w:sz w:val="16"/>
          <w:szCs w:val="16"/>
        </w:rPr>
      </w:pPr>
      <w:r w:rsidRPr="008270B7">
        <w:rPr>
          <w:rFonts w:cs="Arial"/>
          <w:sz w:val="16"/>
          <w:szCs w:val="16"/>
        </w:rPr>
        <w:t>1.2.2.5. Riesgos especiales o novedosos:  En términos del literal c. numeral 3 del art. 184 del EOSF, solamente tratándose de riesgos especiales o de carácter novedoso respecto de los cuales no resulte viable obtener la información necesaria para efectuar el estudio estadístico pertinente, puede prescindirse de sustentar la tarifa con las exigencias enunciadas. En tales eventos, resulta necesario acreditar el respaldo de un reasegurador de reconocida solvencia técnica y financiera, el cual debe definir la tasa pura de riesgo siendo responsabilidad de la entidad aseguradora señalar el factor de gastos.</w:t>
      </w:r>
    </w:p>
    <w:p w14:paraId="7A36D657" w14:textId="77777777" w:rsidR="00E01174" w:rsidRPr="008270B7" w:rsidRDefault="00E01174" w:rsidP="008270B7">
      <w:pPr>
        <w:tabs>
          <w:tab w:val="left" w:pos="720"/>
        </w:tabs>
        <w:jc w:val="both"/>
        <w:rPr>
          <w:rFonts w:cs="Arial"/>
          <w:sz w:val="16"/>
          <w:szCs w:val="16"/>
        </w:rPr>
      </w:pPr>
    </w:p>
    <w:p w14:paraId="24C9C99C" w14:textId="77777777" w:rsidR="001B0554" w:rsidRPr="008270B7" w:rsidRDefault="001B0554" w:rsidP="008270B7">
      <w:pPr>
        <w:jc w:val="both"/>
        <w:rPr>
          <w:rFonts w:cs="Arial"/>
          <w:sz w:val="16"/>
          <w:szCs w:val="16"/>
        </w:rPr>
      </w:pPr>
      <w:r w:rsidRPr="008270B7">
        <w:rPr>
          <w:rFonts w:cs="Arial"/>
          <w:sz w:val="16"/>
          <w:szCs w:val="16"/>
        </w:rPr>
        <w:t>1.2.3. Remisión de pólizas y tarifas a la SFC</w:t>
      </w:r>
    </w:p>
    <w:p w14:paraId="6C481ED7" w14:textId="77777777" w:rsidR="001B0554" w:rsidRPr="008270B7" w:rsidRDefault="001B0554" w:rsidP="008270B7">
      <w:pPr>
        <w:pStyle w:val="Ttulo7"/>
        <w:numPr>
          <w:ilvl w:val="0"/>
          <w:numId w:val="0"/>
        </w:numPr>
        <w:tabs>
          <w:tab w:val="left" w:pos="720"/>
        </w:tabs>
        <w:spacing w:before="0" w:after="0"/>
        <w:jc w:val="both"/>
        <w:rPr>
          <w:rFonts w:cs="Arial"/>
          <w:sz w:val="16"/>
          <w:szCs w:val="16"/>
        </w:rPr>
      </w:pPr>
    </w:p>
    <w:p w14:paraId="25D40EA6" w14:textId="77777777" w:rsidR="001B0554" w:rsidRPr="008270B7" w:rsidRDefault="001B0554" w:rsidP="008270B7">
      <w:pPr>
        <w:rPr>
          <w:rFonts w:cs="Arial"/>
          <w:sz w:val="16"/>
          <w:szCs w:val="16"/>
        </w:rPr>
      </w:pPr>
      <w:r w:rsidRPr="008270B7">
        <w:rPr>
          <w:rFonts w:cs="Arial"/>
          <w:sz w:val="16"/>
          <w:szCs w:val="16"/>
        </w:rPr>
        <w:t>1.2.3.1. Depósito de pólizas y anexos</w:t>
      </w:r>
    </w:p>
    <w:p w14:paraId="5342C98D" w14:textId="77777777" w:rsidR="001B0554" w:rsidRPr="008270B7" w:rsidRDefault="001B0554" w:rsidP="008270B7">
      <w:pPr>
        <w:tabs>
          <w:tab w:val="left" w:pos="720"/>
        </w:tabs>
        <w:ind w:right="356"/>
        <w:jc w:val="both"/>
        <w:rPr>
          <w:rFonts w:cs="Arial"/>
          <w:sz w:val="16"/>
          <w:szCs w:val="16"/>
        </w:rPr>
      </w:pPr>
    </w:p>
    <w:p w14:paraId="443AF87E" w14:textId="77777777" w:rsidR="001B0554" w:rsidRPr="008270B7" w:rsidRDefault="001B0554" w:rsidP="008270B7">
      <w:pPr>
        <w:tabs>
          <w:tab w:val="left" w:pos="720"/>
        </w:tabs>
        <w:ind w:right="51"/>
        <w:jc w:val="both"/>
        <w:rPr>
          <w:rFonts w:cs="Arial"/>
          <w:sz w:val="16"/>
          <w:szCs w:val="16"/>
        </w:rPr>
      </w:pPr>
      <w:r w:rsidRPr="008270B7">
        <w:rPr>
          <w:rFonts w:cs="Arial"/>
          <w:sz w:val="16"/>
          <w:szCs w:val="16"/>
        </w:rPr>
        <w:t xml:space="preserve">Las entidades aseguradoras deben depositar en la SFC el modelo de póliza y anexos del ramo o ramos que explota, pues lo consignado en tales documentos se deben tener como condiciones del contrato en los casos en que no aparezca que hayan sido expresamente acordadas, según lo establece el parágrafo del art. 1047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Esta disposición debe interpretarse armónicamente con lo dispuesto en el numeral 1 del art. 184 del EOSF según el cual los modelos de las pólizas y tarifas deben ponerse a disposición de la SFC antes de su utilización en la forma y con la antelación que determine con carácter general. </w:t>
      </w:r>
    </w:p>
    <w:p w14:paraId="255BE48C" w14:textId="77777777" w:rsidR="001B0554" w:rsidRPr="008270B7" w:rsidRDefault="001B0554" w:rsidP="008270B7">
      <w:pPr>
        <w:tabs>
          <w:tab w:val="left" w:pos="720"/>
        </w:tabs>
        <w:ind w:right="51"/>
        <w:jc w:val="both"/>
        <w:rPr>
          <w:rFonts w:cs="Arial"/>
          <w:sz w:val="16"/>
          <w:szCs w:val="16"/>
        </w:rPr>
      </w:pPr>
    </w:p>
    <w:p w14:paraId="515BA27B" w14:textId="7AC739CF" w:rsidR="001B0554" w:rsidRPr="008270B7" w:rsidRDefault="001B0554" w:rsidP="008270B7">
      <w:pPr>
        <w:pStyle w:val="Textoindependiente22"/>
        <w:tabs>
          <w:tab w:val="clear" w:pos="851"/>
          <w:tab w:val="left" w:pos="720"/>
        </w:tabs>
        <w:rPr>
          <w:rFonts w:cs="Arial"/>
          <w:sz w:val="16"/>
          <w:szCs w:val="16"/>
        </w:rPr>
      </w:pPr>
      <w:r w:rsidRPr="008270B7">
        <w:rPr>
          <w:rFonts w:cs="Arial"/>
          <w:sz w:val="16"/>
          <w:szCs w:val="16"/>
          <w:lang w:val="es-CO"/>
        </w:rPr>
        <w:t xml:space="preserve">Las entidades aseguradoras deben depositar todos los modelos de la póliza, los anexos y notas técnicas correspondientes vigentes de forma simultánea, previamente </w:t>
      </w:r>
      <w:r w:rsidRPr="008270B7">
        <w:rPr>
          <w:rFonts w:cs="Arial"/>
          <w:sz w:val="16"/>
          <w:szCs w:val="16"/>
        </w:rPr>
        <w:t>a la fecha prevista para iniciar su utilización, indicando expresamente que se envían para efectos del cumplimiento del deber de depósito. Igualmente se deben radicar las modificaciones a las pólizas, notas técnicas y anexos existentes que hayan sido previamente autorizados y depositados. Cuando se trate de modificaciones parciales se debe enviar un ejemplar completo del respectivo documento. Las entidades aseguradoras no podrán comercializar pólizas que no se encuentren depositadas a través del SIRI.</w:t>
      </w:r>
    </w:p>
    <w:p w14:paraId="4375176F" w14:textId="77777777" w:rsidR="001B0554" w:rsidRPr="008270B7" w:rsidRDefault="001B0554" w:rsidP="008270B7">
      <w:pPr>
        <w:tabs>
          <w:tab w:val="left" w:pos="720"/>
        </w:tabs>
        <w:ind w:right="51"/>
        <w:jc w:val="both"/>
        <w:rPr>
          <w:rFonts w:cs="Arial"/>
          <w:sz w:val="16"/>
          <w:szCs w:val="16"/>
        </w:rPr>
      </w:pPr>
    </w:p>
    <w:p w14:paraId="7E10D37D" w14:textId="77777777" w:rsidR="001B0554" w:rsidRPr="008270B7" w:rsidRDefault="001B0554" w:rsidP="008270B7">
      <w:pPr>
        <w:tabs>
          <w:tab w:val="left" w:pos="720"/>
        </w:tabs>
        <w:ind w:right="51"/>
        <w:jc w:val="both"/>
        <w:rPr>
          <w:rFonts w:cs="Arial"/>
          <w:sz w:val="16"/>
          <w:szCs w:val="16"/>
        </w:rPr>
      </w:pPr>
      <w:r w:rsidRPr="008270B7">
        <w:rPr>
          <w:rFonts w:cs="Arial"/>
          <w:sz w:val="16"/>
          <w:szCs w:val="16"/>
        </w:rPr>
        <w:t xml:space="preserve">La SFC lleva el depósito de los modelos de las pólizas y anexos que se remiten en cumplimiento a dicho deber legal, los cuales, además de estar a disposición del público en general en los términos del art. 24 y siguientes del CPACA, obran para los efectos dispuestos en el art. 1047 </w:t>
      </w:r>
      <w:proofErr w:type="spellStart"/>
      <w:proofErr w:type="gramStart"/>
      <w:r w:rsidRPr="008270B7">
        <w:rPr>
          <w:rFonts w:cs="Arial"/>
          <w:sz w:val="16"/>
          <w:szCs w:val="16"/>
        </w:rPr>
        <w:t>C.Cio</w:t>
      </w:r>
      <w:proofErr w:type="spellEnd"/>
      <w:proofErr w:type="gramEnd"/>
      <w:r w:rsidRPr="008270B7">
        <w:rPr>
          <w:rFonts w:cs="Arial"/>
          <w:sz w:val="16"/>
          <w:szCs w:val="16"/>
        </w:rPr>
        <w:t xml:space="preserve">. La SFC ordena de manera sistematizada las pólizas y anexos por entidad y ramo y en orden cronológico. Se entiende que el modelo vigente es el último depositado en orden cronológico. Para tal efecto, la SFC cuenta con mecanismos adecuados de atención en línea para la consulta de los modelos y anexos por parte del público en general mediante la página web, así como para la consulta cuando se den los presupuestos indicados en el mencionado art. 1047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w:t>
      </w:r>
    </w:p>
    <w:p w14:paraId="668E5E44" w14:textId="77777777" w:rsidR="001B0554" w:rsidRPr="008270B7" w:rsidRDefault="001B0554" w:rsidP="008270B7">
      <w:pPr>
        <w:tabs>
          <w:tab w:val="left" w:pos="720"/>
        </w:tabs>
        <w:ind w:right="51"/>
        <w:jc w:val="both"/>
        <w:rPr>
          <w:rFonts w:cs="Arial"/>
          <w:sz w:val="16"/>
          <w:szCs w:val="16"/>
        </w:rPr>
      </w:pPr>
    </w:p>
    <w:p w14:paraId="7EC33A48" w14:textId="77777777" w:rsidR="001B0554" w:rsidRPr="008270B7" w:rsidRDefault="001B0554" w:rsidP="008270B7">
      <w:pPr>
        <w:tabs>
          <w:tab w:val="left" w:pos="720"/>
        </w:tabs>
        <w:ind w:right="51"/>
        <w:jc w:val="both"/>
        <w:rPr>
          <w:rFonts w:cs="Arial"/>
          <w:sz w:val="16"/>
          <w:szCs w:val="16"/>
        </w:rPr>
      </w:pPr>
      <w:r w:rsidRPr="008270B7">
        <w:rPr>
          <w:rFonts w:cs="Arial"/>
          <w:sz w:val="16"/>
          <w:szCs w:val="16"/>
        </w:rPr>
        <w:t xml:space="preserve">El acto de enviar los modelos de las pólizas y demás documentos en sí mismo no supone un pronunciamiento de la SFC sobre la legalidad de </w:t>
      </w:r>
      <w:proofErr w:type="gramStart"/>
      <w:r w:rsidRPr="008270B7">
        <w:rPr>
          <w:rFonts w:cs="Arial"/>
          <w:sz w:val="16"/>
          <w:szCs w:val="16"/>
        </w:rPr>
        <w:t>los mismos</w:t>
      </w:r>
      <w:proofErr w:type="gramEnd"/>
      <w:r w:rsidRPr="008270B7">
        <w:rPr>
          <w:rFonts w:cs="Arial"/>
          <w:sz w:val="16"/>
          <w:szCs w:val="16"/>
        </w:rPr>
        <w:t xml:space="preserve"> y se lleva exclusivamente para efectos del depósito y del art. 1047 del </w:t>
      </w:r>
      <w:proofErr w:type="spellStart"/>
      <w:proofErr w:type="gramStart"/>
      <w:r w:rsidRPr="008270B7">
        <w:rPr>
          <w:rFonts w:cs="Arial"/>
          <w:sz w:val="16"/>
          <w:szCs w:val="16"/>
        </w:rPr>
        <w:t>C.Cio</w:t>
      </w:r>
      <w:proofErr w:type="spellEnd"/>
      <w:proofErr w:type="gramEnd"/>
      <w:r w:rsidRPr="008270B7">
        <w:rPr>
          <w:rFonts w:cs="Arial"/>
          <w:sz w:val="16"/>
          <w:szCs w:val="16"/>
        </w:rPr>
        <w:t xml:space="preserve">. </w:t>
      </w:r>
    </w:p>
    <w:p w14:paraId="229FC55C" w14:textId="77777777" w:rsidR="001B0554" w:rsidRPr="008270B7" w:rsidRDefault="001B0554" w:rsidP="008270B7">
      <w:pPr>
        <w:tabs>
          <w:tab w:val="left" w:pos="720"/>
        </w:tabs>
        <w:ind w:right="51"/>
        <w:jc w:val="both"/>
        <w:rPr>
          <w:rFonts w:cs="Arial"/>
          <w:sz w:val="16"/>
          <w:szCs w:val="16"/>
        </w:rPr>
      </w:pPr>
    </w:p>
    <w:p w14:paraId="66630ECB" w14:textId="77777777" w:rsidR="001B0554" w:rsidRPr="008270B7" w:rsidRDefault="001B0554" w:rsidP="008270B7">
      <w:pPr>
        <w:tabs>
          <w:tab w:val="left" w:pos="720"/>
        </w:tabs>
        <w:ind w:right="51"/>
        <w:jc w:val="both"/>
        <w:rPr>
          <w:rFonts w:cs="Arial"/>
          <w:sz w:val="16"/>
          <w:szCs w:val="16"/>
        </w:rPr>
      </w:pPr>
      <w:r w:rsidRPr="008270B7">
        <w:rPr>
          <w:rFonts w:cs="Arial"/>
          <w:sz w:val="16"/>
          <w:szCs w:val="16"/>
        </w:rPr>
        <w:t xml:space="preserve">Lo anterior, se debe entender sin perjuicio de la facultad que tiene el ente de control de verificar en cualquier momento las pólizas y tarifas de conformidad con el  literal j. numeral 3 del art. 326 del EOSF, función que se lleva a cabo en los términos indicados en el siguiente numeral y sin perjuicio del deber que tiene la SFC de autorizar las pólizas y tarifas en los eventos en que se trate de la autorización inicial a una entidad aseguradora o de la correspondiente para la explotación de un nuevo ramo.  </w:t>
      </w:r>
    </w:p>
    <w:p w14:paraId="013B80AE" w14:textId="77777777" w:rsidR="001B0554" w:rsidRPr="008270B7" w:rsidRDefault="001B0554" w:rsidP="008270B7">
      <w:pPr>
        <w:tabs>
          <w:tab w:val="left" w:pos="720"/>
        </w:tabs>
        <w:ind w:right="356"/>
        <w:jc w:val="both"/>
        <w:rPr>
          <w:rFonts w:cs="Arial"/>
          <w:sz w:val="16"/>
          <w:szCs w:val="16"/>
        </w:rPr>
      </w:pPr>
    </w:p>
    <w:p w14:paraId="62C43B25" w14:textId="77777777" w:rsidR="001B0554" w:rsidRPr="008270B7" w:rsidRDefault="001B0554" w:rsidP="008270B7">
      <w:pPr>
        <w:tabs>
          <w:tab w:val="left" w:pos="720"/>
        </w:tabs>
        <w:jc w:val="both"/>
        <w:rPr>
          <w:rFonts w:cs="Arial"/>
          <w:sz w:val="16"/>
          <w:szCs w:val="16"/>
        </w:rPr>
      </w:pPr>
      <w:r w:rsidRPr="008270B7">
        <w:rPr>
          <w:rFonts w:cs="Arial"/>
          <w:sz w:val="16"/>
          <w:szCs w:val="16"/>
        </w:rPr>
        <w:t xml:space="preserve">Los textos de las pólizas y documentos anexos deben remitirse a la SFC accediendo a la página web mediante el </w:t>
      </w:r>
      <w:proofErr w:type="gramStart"/>
      <w:r w:rsidRPr="008270B7">
        <w:rPr>
          <w:rFonts w:cs="Arial"/>
          <w:sz w:val="16"/>
          <w:szCs w:val="16"/>
        </w:rPr>
        <w:t>link</w:t>
      </w:r>
      <w:proofErr w:type="gramEnd"/>
      <w:r w:rsidRPr="008270B7">
        <w:rPr>
          <w:rFonts w:cs="Arial"/>
          <w:sz w:val="16"/>
          <w:szCs w:val="16"/>
        </w:rPr>
        <w:t xml:space="preserve"> Trámites en línea y Remisión de información - Trámites SIRI, consignando los datos obligatorios en el formulario habilitado para tal fin y adjuntando las respectivas proformas únicamente en formato PDF; de conformidad con lo señalado en la nota 2 de este </w:t>
      </w:r>
      <w:proofErr w:type="spellStart"/>
      <w:r w:rsidRPr="008270B7">
        <w:rPr>
          <w:rFonts w:cs="Arial"/>
          <w:sz w:val="16"/>
          <w:szCs w:val="16"/>
        </w:rPr>
        <w:t>subnumeral</w:t>
      </w:r>
      <w:proofErr w:type="spellEnd"/>
      <w:r w:rsidRPr="008270B7">
        <w:rPr>
          <w:rFonts w:cs="Arial"/>
          <w:sz w:val="16"/>
          <w:szCs w:val="16"/>
        </w:rPr>
        <w:t xml:space="preserve">. Se debe registrar en la parte inferior de cada página del documento el código del clausulado de acuerdo con los siguientes criterios:  </w:t>
      </w:r>
    </w:p>
    <w:p w14:paraId="1D1DF387" w14:textId="77777777" w:rsidR="001B0554" w:rsidRPr="008270B7" w:rsidRDefault="001B0554" w:rsidP="008270B7">
      <w:pPr>
        <w:tabs>
          <w:tab w:val="left" w:pos="720"/>
        </w:tabs>
        <w:jc w:val="both"/>
        <w:rPr>
          <w:rFonts w:cs="Arial"/>
          <w:sz w:val="16"/>
          <w:szCs w:val="16"/>
        </w:rPr>
      </w:pP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1"/>
        <w:gridCol w:w="1413"/>
        <w:gridCol w:w="1270"/>
        <w:gridCol w:w="991"/>
        <w:gridCol w:w="1129"/>
        <w:gridCol w:w="1678"/>
        <w:gridCol w:w="1457"/>
      </w:tblGrid>
      <w:tr w:rsidR="001B0554" w:rsidRPr="008270B7" w14:paraId="79A2B0A2" w14:textId="77777777" w:rsidTr="00BB0A30">
        <w:trPr>
          <w:trHeight w:val="109"/>
          <w:jc w:val="center"/>
        </w:trPr>
        <w:tc>
          <w:tcPr>
            <w:tcW w:w="991" w:type="dxa"/>
            <w:shd w:val="clear" w:color="auto" w:fill="auto"/>
            <w:vAlign w:val="center"/>
            <w:hideMark/>
          </w:tcPr>
          <w:p w14:paraId="2114555E"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Campo</w:t>
            </w:r>
          </w:p>
        </w:tc>
        <w:tc>
          <w:tcPr>
            <w:tcW w:w="1413" w:type="dxa"/>
            <w:shd w:val="clear" w:color="auto" w:fill="auto"/>
            <w:vAlign w:val="center"/>
            <w:hideMark/>
          </w:tcPr>
          <w:p w14:paraId="241BAA07"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1</w:t>
            </w:r>
          </w:p>
        </w:tc>
        <w:tc>
          <w:tcPr>
            <w:tcW w:w="1270" w:type="dxa"/>
            <w:shd w:val="clear" w:color="auto" w:fill="auto"/>
            <w:vAlign w:val="center"/>
            <w:hideMark/>
          </w:tcPr>
          <w:p w14:paraId="54568ED5"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2</w:t>
            </w:r>
          </w:p>
        </w:tc>
        <w:tc>
          <w:tcPr>
            <w:tcW w:w="991" w:type="dxa"/>
            <w:shd w:val="clear" w:color="auto" w:fill="auto"/>
            <w:vAlign w:val="center"/>
            <w:hideMark/>
          </w:tcPr>
          <w:p w14:paraId="17B25560"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3</w:t>
            </w:r>
          </w:p>
        </w:tc>
        <w:tc>
          <w:tcPr>
            <w:tcW w:w="1129" w:type="dxa"/>
            <w:shd w:val="clear" w:color="auto" w:fill="auto"/>
            <w:vAlign w:val="center"/>
            <w:hideMark/>
          </w:tcPr>
          <w:p w14:paraId="2F820F1B"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4</w:t>
            </w:r>
          </w:p>
        </w:tc>
        <w:tc>
          <w:tcPr>
            <w:tcW w:w="1678" w:type="dxa"/>
            <w:shd w:val="clear" w:color="auto" w:fill="auto"/>
            <w:vAlign w:val="center"/>
            <w:hideMark/>
          </w:tcPr>
          <w:p w14:paraId="2B8A405F"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5</w:t>
            </w:r>
          </w:p>
        </w:tc>
        <w:tc>
          <w:tcPr>
            <w:tcW w:w="1457" w:type="dxa"/>
            <w:vAlign w:val="center"/>
          </w:tcPr>
          <w:p w14:paraId="71D453E0" w14:textId="77777777" w:rsidR="001B0554" w:rsidRPr="008270B7" w:rsidRDefault="001B0554" w:rsidP="008270B7">
            <w:pPr>
              <w:jc w:val="center"/>
              <w:rPr>
                <w:rFonts w:cs="Arial"/>
                <w:color w:val="000000"/>
                <w:sz w:val="16"/>
                <w:szCs w:val="16"/>
                <w:lang w:val="es-CO"/>
              </w:rPr>
            </w:pPr>
            <w:r w:rsidRPr="008270B7">
              <w:rPr>
                <w:rFonts w:cs="Arial"/>
                <w:color w:val="000000"/>
                <w:sz w:val="16"/>
                <w:szCs w:val="16"/>
              </w:rPr>
              <w:t>6</w:t>
            </w:r>
          </w:p>
        </w:tc>
      </w:tr>
      <w:tr w:rsidR="001B0554" w:rsidRPr="008270B7" w14:paraId="48AB02BC" w14:textId="77777777" w:rsidTr="00BB0A30">
        <w:trPr>
          <w:trHeight w:val="354"/>
          <w:jc w:val="center"/>
        </w:trPr>
        <w:tc>
          <w:tcPr>
            <w:tcW w:w="991" w:type="dxa"/>
            <w:shd w:val="clear" w:color="auto" w:fill="auto"/>
            <w:vAlign w:val="center"/>
            <w:hideMark/>
          </w:tcPr>
          <w:p w14:paraId="715F2538"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Descripción</w:t>
            </w:r>
          </w:p>
        </w:tc>
        <w:tc>
          <w:tcPr>
            <w:tcW w:w="1413" w:type="dxa"/>
            <w:shd w:val="clear" w:color="auto" w:fill="auto"/>
            <w:vAlign w:val="center"/>
            <w:hideMark/>
          </w:tcPr>
          <w:p w14:paraId="6A23C49C" w14:textId="77777777" w:rsidR="001B0554" w:rsidRPr="008270B7" w:rsidRDefault="001B0554" w:rsidP="008270B7">
            <w:pPr>
              <w:rPr>
                <w:rFonts w:cs="Arial"/>
                <w:color w:val="000000"/>
                <w:sz w:val="16"/>
                <w:szCs w:val="16"/>
                <w:lang w:val="es-CO"/>
              </w:rPr>
            </w:pPr>
            <w:r w:rsidRPr="008270B7">
              <w:rPr>
                <w:rFonts w:cs="Arial"/>
                <w:color w:val="000000"/>
                <w:sz w:val="16"/>
                <w:szCs w:val="16"/>
              </w:rPr>
              <w:t>Fecha a partir de la cual se utiliza</w:t>
            </w:r>
          </w:p>
        </w:tc>
        <w:tc>
          <w:tcPr>
            <w:tcW w:w="1270" w:type="dxa"/>
            <w:tcBorders>
              <w:bottom w:val="single" w:sz="4" w:space="0" w:color="auto"/>
            </w:tcBorders>
            <w:shd w:val="clear" w:color="auto" w:fill="auto"/>
            <w:vAlign w:val="center"/>
            <w:hideMark/>
          </w:tcPr>
          <w:p w14:paraId="793A8AD5"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Tipo y número de la Entidad</w:t>
            </w:r>
          </w:p>
        </w:tc>
        <w:tc>
          <w:tcPr>
            <w:tcW w:w="991" w:type="dxa"/>
            <w:shd w:val="clear" w:color="auto" w:fill="auto"/>
            <w:vAlign w:val="center"/>
            <w:hideMark/>
          </w:tcPr>
          <w:p w14:paraId="55ECF860" w14:textId="77777777" w:rsidR="001B0554" w:rsidRPr="008270B7" w:rsidRDefault="001B0554" w:rsidP="008270B7">
            <w:pPr>
              <w:rPr>
                <w:rFonts w:cs="Arial"/>
                <w:color w:val="000000"/>
                <w:sz w:val="16"/>
                <w:szCs w:val="16"/>
                <w:lang w:val="es-CO"/>
              </w:rPr>
            </w:pPr>
            <w:r w:rsidRPr="008270B7">
              <w:rPr>
                <w:rFonts w:cs="Arial"/>
                <w:color w:val="000000"/>
                <w:sz w:val="16"/>
                <w:szCs w:val="16"/>
              </w:rPr>
              <w:t>Tipo de documento</w:t>
            </w:r>
          </w:p>
        </w:tc>
        <w:tc>
          <w:tcPr>
            <w:tcW w:w="1129" w:type="dxa"/>
            <w:shd w:val="clear" w:color="auto" w:fill="auto"/>
            <w:vAlign w:val="center"/>
            <w:hideMark/>
          </w:tcPr>
          <w:p w14:paraId="7F016365" w14:textId="77777777" w:rsidR="001B0554" w:rsidRPr="008270B7" w:rsidRDefault="001B0554" w:rsidP="008270B7">
            <w:pPr>
              <w:rPr>
                <w:rFonts w:cs="Arial"/>
                <w:color w:val="000000"/>
                <w:sz w:val="16"/>
                <w:szCs w:val="16"/>
                <w:lang w:val="es-CO"/>
              </w:rPr>
            </w:pPr>
            <w:r w:rsidRPr="008270B7">
              <w:rPr>
                <w:rFonts w:cs="Arial"/>
                <w:color w:val="000000"/>
                <w:sz w:val="16"/>
                <w:szCs w:val="16"/>
              </w:rPr>
              <w:t>Ramo al cual accede</w:t>
            </w:r>
          </w:p>
        </w:tc>
        <w:tc>
          <w:tcPr>
            <w:tcW w:w="1678" w:type="dxa"/>
            <w:shd w:val="clear" w:color="auto" w:fill="auto"/>
            <w:vAlign w:val="center"/>
            <w:hideMark/>
          </w:tcPr>
          <w:p w14:paraId="734F28CD" w14:textId="77777777" w:rsidR="001B0554" w:rsidRPr="008270B7" w:rsidRDefault="001B0554" w:rsidP="008270B7">
            <w:pPr>
              <w:rPr>
                <w:rFonts w:cs="Arial"/>
                <w:color w:val="000000"/>
                <w:sz w:val="16"/>
                <w:szCs w:val="16"/>
                <w:lang w:val="es-CO"/>
              </w:rPr>
            </w:pPr>
            <w:r w:rsidRPr="008270B7">
              <w:rPr>
                <w:rFonts w:cs="Arial"/>
                <w:color w:val="000000"/>
                <w:sz w:val="16"/>
                <w:szCs w:val="16"/>
              </w:rPr>
              <w:t xml:space="preserve">Identificación interna de la proforma </w:t>
            </w:r>
          </w:p>
        </w:tc>
        <w:tc>
          <w:tcPr>
            <w:tcW w:w="1457" w:type="dxa"/>
            <w:vAlign w:val="center"/>
          </w:tcPr>
          <w:p w14:paraId="3EDD3E47" w14:textId="77777777" w:rsidR="001B0554" w:rsidRPr="008270B7" w:rsidRDefault="001B0554" w:rsidP="008270B7">
            <w:pPr>
              <w:rPr>
                <w:rFonts w:cs="Arial"/>
                <w:color w:val="000000"/>
                <w:sz w:val="16"/>
                <w:szCs w:val="16"/>
                <w:lang w:val="es-CO"/>
              </w:rPr>
            </w:pPr>
            <w:r w:rsidRPr="008270B7">
              <w:rPr>
                <w:rFonts w:cs="Arial"/>
                <w:color w:val="000000"/>
                <w:sz w:val="16"/>
                <w:szCs w:val="16"/>
              </w:rPr>
              <w:t xml:space="preserve">Canal de Comercialización </w:t>
            </w:r>
          </w:p>
        </w:tc>
      </w:tr>
      <w:tr w:rsidR="001B0554" w:rsidRPr="008270B7" w14:paraId="6738FED5" w14:textId="77777777" w:rsidTr="00BB0A30">
        <w:trPr>
          <w:trHeight w:val="300"/>
          <w:jc w:val="center"/>
        </w:trPr>
        <w:tc>
          <w:tcPr>
            <w:tcW w:w="991" w:type="dxa"/>
            <w:shd w:val="clear" w:color="auto" w:fill="auto"/>
            <w:vAlign w:val="center"/>
            <w:hideMark/>
          </w:tcPr>
          <w:p w14:paraId="6394B113"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Formato</w:t>
            </w:r>
          </w:p>
        </w:tc>
        <w:tc>
          <w:tcPr>
            <w:tcW w:w="1413" w:type="dxa"/>
            <w:tcBorders>
              <w:right w:val="single" w:sz="4" w:space="0" w:color="auto"/>
            </w:tcBorders>
            <w:shd w:val="clear" w:color="auto" w:fill="auto"/>
            <w:vAlign w:val="center"/>
            <w:hideMark/>
          </w:tcPr>
          <w:p w14:paraId="5A5A0A61" w14:textId="77777777" w:rsidR="001B0554" w:rsidRPr="008270B7" w:rsidRDefault="001B0554" w:rsidP="008270B7">
            <w:pPr>
              <w:jc w:val="both"/>
              <w:rPr>
                <w:rFonts w:cs="Arial"/>
                <w:color w:val="000000"/>
                <w:sz w:val="16"/>
                <w:szCs w:val="16"/>
              </w:rPr>
            </w:pPr>
            <w:r w:rsidRPr="008270B7">
              <w:rPr>
                <w:rFonts w:cs="Arial"/>
                <w:color w:val="000000"/>
                <w:sz w:val="16"/>
                <w:szCs w:val="16"/>
              </w:rPr>
              <w:t>10 dígitos</w:t>
            </w:r>
          </w:p>
          <w:p w14:paraId="4B4D1B55" w14:textId="77777777" w:rsidR="001B0554" w:rsidRPr="008270B7" w:rsidRDefault="001B0554" w:rsidP="008270B7">
            <w:pPr>
              <w:jc w:val="both"/>
              <w:rPr>
                <w:rFonts w:cs="Arial"/>
                <w:color w:val="000000"/>
                <w:sz w:val="16"/>
                <w:szCs w:val="16"/>
                <w:lang w:val="es-CO"/>
              </w:rPr>
            </w:pPr>
            <w:proofErr w:type="spellStart"/>
            <w:r w:rsidRPr="008270B7">
              <w:rPr>
                <w:rFonts w:cs="Arial"/>
                <w:color w:val="000000"/>
                <w:sz w:val="16"/>
                <w:szCs w:val="16"/>
              </w:rPr>
              <w:t>dd</w:t>
            </w:r>
            <w:proofErr w:type="spellEnd"/>
            <w:r w:rsidRPr="008270B7">
              <w:rPr>
                <w:rFonts w:cs="Arial"/>
                <w:color w:val="000000"/>
                <w:sz w:val="16"/>
                <w:szCs w:val="16"/>
              </w:rPr>
              <w:t>/mm/</w:t>
            </w:r>
            <w:proofErr w:type="spellStart"/>
            <w:r w:rsidRPr="008270B7">
              <w:rPr>
                <w:rFonts w:cs="Arial"/>
                <w:color w:val="000000"/>
                <w:sz w:val="16"/>
                <w:szCs w:val="16"/>
              </w:rPr>
              <w:t>aaaa</w:t>
            </w:r>
            <w:proofErr w:type="spellEnd"/>
          </w:p>
        </w:tc>
        <w:tc>
          <w:tcPr>
            <w:tcW w:w="1270" w:type="dxa"/>
            <w:tcBorders>
              <w:left w:val="single" w:sz="4" w:space="0" w:color="auto"/>
            </w:tcBorders>
            <w:shd w:val="clear" w:color="auto" w:fill="auto"/>
            <w:vAlign w:val="center"/>
            <w:hideMark/>
          </w:tcPr>
          <w:p w14:paraId="681E5B87"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4 dígitos</w:t>
            </w:r>
          </w:p>
        </w:tc>
        <w:tc>
          <w:tcPr>
            <w:tcW w:w="991" w:type="dxa"/>
            <w:shd w:val="clear" w:color="auto" w:fill="auto"/>
            <w:vAlign w:val="center"/>
            <w:hideMark/>
          </w:tcPr>
          <w:p w14:paraId="6FAA271A"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1 carácter</w:t>
            </w:r>
          </w:p>
        </w:tc>
        <w:tc>
          <w:tcPr>
            <w:tcW w:w="1129" w:type="dxa"/>
            <w:shd w:val="clear" w:color="auto" w:fill="auto"/>
            <w:vAlign w:val="center"/>
            <w:hideMark/>
          </w:tcPr>
          <w:p w14:paraId="6DAB0136"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2 dígitos</w:t>
            </w:r>
          </w:p>
        </w:tc>
        <w:tc>
          <w:tcPr>
            <w:tcW w:w="1678" w:type="dxa"/>
            <w:shd w:val="clear" w:color="auto" w:fill="auto"/>
            <w:vAlign w:val="center"/>
            <w:hideMark/>
          </w:tcPr>
          <w:p w14:paraId="545A5CB1"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16 caracteres</w:t>
            </w:r>
          </w:p>
        </w:tc>
        <w:tc>
          <w:tcPr>
            <w:tcW w:w="1457" w:type="dxa"/>
            <w:vAlign w:val="center"/>
          </w:tcPr>
          <w:p w14:paraId="29A2D7AE" w14:textId="77777777" w:rsidR="001B0554" w:rsidRPr="008270B7" w:rsidRDefault="001B0554" w:rsidP="008270B7">
            <w:pPr>
              <w:jc w:val="both"/>
              <w:rPr>
                <w:rFonts w:cs="Arial"/>
                <w:color w:val="000000"/>
                <w:sz w:val="16"/>
                <w:szCs w:val="16"/>
                <w:lang w:val="es-CO"/>
              </w:rPr>
            </w:pPr>
            <w:r w:rsidRPr="008270B7">
              <w:rPr>
                <w:rFonts w:cs="Arial"/>
                <w:color w:val="000000"/>
                <w:sz w:val="16"/>
                <w:szCs w:val="16"/>
              </w:rPr>
              <w:t>4 caracteres</w:t>
            </w:r>
          </w:p>
        </w:tc>
      </w:tr>
    </w:tbl>
    <w:p w14:paraId="10951C4E" w14:textId="77777777" w:rsidR="001B0554" w:rsidRPr="008270B7" w:rsidRDefault="001B0554" w:rsidP="008270B7">
      <w:pPr>
        <w:tabs>
          <w:tab w:val="left" w:pos="720"/>
        </w:tabs>
        <w:jc w:val="both"/>
        <w:rPr>
          <w:rFonts w:cs="Arial"/>
          <w:sz w:val="16"/>
          <w:szCs w:val="16"/>
        </w:rPr>
      </w:pPr>
    </w:p>
    <w:p w14:paraId="436B9788" w14:textId="77777777" w:rsidR="001B0554" w:rsidRPr="008270B7" w:rsidRDefault="001B0554" w:rsidP="008270B7">
      <w:pPr>
        <w:tabs>
          <w:tab w:val="left" w:pos="720"/>
        </w:tabs>
        <w:jc w:val="both"/>
        <w:rPr>
          <w:rFonts w:cs="Arial"/>
          <w:sz w:val="16"/>
          <w:szCs w:val="16"/>
        </w:rPr>
      </w:pPr>
      <w:r w:rsidRPr="008270B7">
        <w:rPr>
          <w:rFonts w:cs="Arial"/>
          <w:sz w:val="16"/>
          <w:szCs w:val="16"/>
        </w:rPr>
        <w:t xml:space="preserve">Campo 1: Indicación de la fecha a partir de la cual se utiliza el documento respectivo (día/mes/año). Tratándose de pólizas enviadas para efectos de la autorización de un ramo, se entiende que la fecha a partir de la cual se utiliza el documento corresponde a la del acto administrativo mediante el cual se imparte la respectiva autorización. </w:t>
      </w:r>
    </w:p>
    <w:p w14:paraId="11A102EB" w14:textId="77777777" w:rsidR="001B0554" w:rsidRPr="008270B7" w:rsidRDefault="001B0554" w:rsidP="008270B7">
      <w:pPr>
        <w:tabs>
          <w:tab w:val="left" w:pos="720"/>
        </w:tabs>
        <w:jc w:val="both"/>
        <w:rPr>
          <w:rFonts w:cs="Arial"/>
          <w:sz w:val="16"/>
          <w:szCs w:val="16"/>
        </w:rPr>
      </w:pPr>
    </w:p>
    <w:p w14:paraId="68F9A1EC" w14:textId="77777777" w:rsidR="001B0554" w:rsidRPr="008270B7" w:rsidRDefault="001B0554" w:rsidP="008270B7">
      <w:pPr>
        <w:tabs>
          <w:tab w:val="left" w:pos="720"/>
        </w:tabs>
        <w:jc w:val="both"/>
        <w:rPr>
          <w:rFonts w:cs="Arial"/>
          <w:sz w:val="16"/>
          <w:szCs w:val="16"/>
        </w:rPr>
      </w:pPr>
      <w:r w:rsidRPr="008270B7">
        <w:rPr>
          <w:rFonts w:cs="Arial"/>
          <w:sz w:val="16"/>
          <w:szCs w:val="16"/>
        </w:rPr>
        <w:t>Campo 2: Código con el cual se identifica el tipo de entidad vigilada por la SFC, dependiendo de si se trata de entidades de seguros generales (13), de vida (14), o cooperativa (15) y el individual asignado a la entidad en la SFC.</w:t>
      </w:r>
    </w:p>
    <w:p w14:paraId="4BC5CF8C" w14:textId="77777777" w:rsidR="001B0554" w:rsidRPr="008270B7" w:rsidRDefault="001B0554" w:rsidP="008270B7">
      <w:pPr>
        <w:tabs>
          <w:tab w:val="left" w:pos="720"/>
        </w:tabs>
        <w:jc w:val="both"/>
        <w:rPr>
          <w:rFonts w:cs="Arial"/>
          <w:sz w:val="16"/>
          <w:szCs w:val="16"/>
        </w:rPr>
      </w:pPr>
    </w:p>
    <w:p w14:paraId="7EB80E83" w14:textId="77777777" w:rsidR="001B0554" w:rsidRPr="008270B7" w:rsidRDefault="001B0554" w:rsidP="008270B7">
      <w:pPr>
        <w:pStyle w:val="Textoindependiente"/>
        <w:tabs>
          <w:tab w:val="left" w:pos="720"/>
        </w:tabs>
        <w:rPr>
          <w:rFonts w:cs="Arial"/>
          <w:b w:val="0"/>
          <w:sz w:val="16"/>
          <w:szCs w:val="16"/>
        </w:rPr>
      </w:pPr>
      <w:r w:rsidRPr="008270B7">
        <w:rPr>
          <w:rFonts w:cs="Arial"/>
          <w:b w:val="0"/>
          <w:sz w:val="16"/>
          <w:szCs w:val="16"/>
        </w:rPr>
        <w:t xml:space="preserve">Campo 3: </w:t>
      </w:r>
    </w:p>
    <w:p w14:paraId="7611C3ED" w14:textId="77777777" w:rsidR="001B0554" w:rsidRPr="008270B7" w:rsidRDefault="001B0554" w:rsidP="008270B7">
      <w:pPr>
        <w:tabs>
          <w:tab w:val="left" w:pos="720"/>
        </w:tabs>
        <w:jc w:val="both"/>
        <w:rPr>
          <w:rFonts w:cs="Arial"/>
          <w:sz w:val="16"/>
          <w:szCs w:val="16"/>
        </w:rPr>
      </w:pPr>
      <w:r w:rsidRPr="008270B7">
        <w:rPr>
          <w:rFonts w:cs="Arial"/>
          <w:sz w:val="16"/>
          <w:szCs w:val="16"/>
        </w:rPr>
        <w:t>P - Si corresponde a una póliza</w:t>
      </w:r>
    </w:p>
    <w:p w14:paraId="2296638B" w14:textId="77777777" w:rsidR="001B0554" w:rsidRPr="008270B7" w:rsidRDefault="001B0554" w:rsidP="008270B7">
      <w:pPr>
        <w:tabs>
          <w:tab w:val="left" w:pos="720"/>
        </w:tabs>
        <w:jc w:val="both"/>
        <w:rPr>
          <w:rFonts w:cs="Arial"/>
          <w:sz w:val="16"/>
          <w:szCs w:val="16"/>
        </w:rPr>
      </w:pPr>
      <w:r w:rsidRPr="008270B7">
        <w:rPr>
          <w:rFonts w:cs="Arial"/>
          <w:sz w:val="16"/>
          <w:szCs w:val="16"/>
        </w:rPr>
        <w:t>A - Si corresponde a un amparo adicional o anexo</w:t>
      </w:r>
    </w:p>
    <w:p w14:paraId="7E759C7D" w14:textId="77777777" w:rsidR="001B0554" w:rsidRPr="008270B7" w:rsidRDefault="001B0554" w:rsidP="008270B7">
      <w:pPr>
        <w:tabs>
          <w:tab w:val="left" w:pos="720"/>
        </w:tabs>
        <w:jc w:val="both"/>
        <w:rPr>
          <w:rFonts w:cs="Arial"/>
          <w:sz w:val="16"/>
          <w:szCs w:val="16"/>
        </w:rPr>
      </w:pPr>
    </w:p>
    <w:p w14:paraId="0101752E" w14:textId="77777777" w:rsidR="001B0554" w:rsidRPr="008270B7" w:rsidRDefault="001B0554" w:rsidP="008270B7">
      <w:pPr>
        <w:tabs>
          <w:tab w:val="left" w:pos="720"/>
        </w:tabs>
        <w:jc w:val="both"/>
        <w:rPr>
          <w:rFonts w:cs="Arial"/>
          <w:sz w:val="16"/>
          <w:szCs w:val="16"/>
        </w:rPr>
      </w:pPr>
      <w:r w:rsidRPr="008270B7">
        <w:rPr>
          <w:rFonts w:cs="Arial"/>
          <w:sz w:val="16"/>
          <w:szCs w:val="16"/>
        </w:rPr>
        <w:t xml:space="preserve">Campo 4: Corresponde al código del ramo de acuerdo con lo previsto en el </w:t>
      </w:r>
      <w:proofErr w:type="spellStart"/>
      <w:r w:rsidRPr="008270B7">
        <w:rPr>
          <w:rFonts w:cs="Arial"/>
          <w:sz w:val="16"/>
          <w:szCs w:val="16"/>
        </w:rPr>
        <w:t>subnumeral</w:t>
      </w:r>
      <w:proofErr w:type="spellEnd"/>
      <w:r w:rsidRPr="008270B7">
        <w:rPr>
          <w:rFonts w:cs="Arial"/>
          <w:sz w:val="16"/>
          <w:szCs w:val="16"/>
        </w:rPr>
        <w:t xml:space="preserve"> 1.1 del presente Capítulo.</w:t>
      </w:r>
    </w:p>
    <w:p w14:paraId="2FF90C4D" w14:textId="77777777" w:rsidR="001B0554" w:rsidRPr="008270B7" w:rsidRDefault="001B0554" w:rsidP="008270B7">
      <w:pPr>
        <w:tabs>
          <w:tab w:val="left" w:pos="720"/>
        </w:tabs>
        <w:jc w:val="both"/>
        <w:rPr>
          <w:rFonts w:cs="Arial"/>
          <w:sz w:val="16"/>
          <w:szCs w:val="16"/>
        </w:rPr>
      </w:pPr>
    </w:p>
    <w:p w14:paraId="0059AE5C" w14:textId="77777777" w:rsidR="001B0554" w:rsidRPr="008270B7" w:rsidRDefault="001B0554" w:rsidP="008270B7">
      <w:pPr>
        <w:tabs>
          <w:tab w:val="left" w:pos="720"/>
        </w:tabs>
        <w:jc w:val="both"/>
        <w:rPr>
          <w:rFonts w:cs="Arial"/>
          <w:sz w:val="16"/>
          <w:szCs w:val="16"/>
        </w:rPr>
      </w:pPr>
      <w:r w:rsidRPr="008270B7">
        <w:rPr>
          <w:rFonts w:cs="Arial"/>
          <w:sz w:val="16"/>
          <w:szCs w:val="16"/>
        </w:rPr>
        <w:t>Los anexos que se utilicen en varios ramos deben codificarse con el número 0.</w:t>
      </w:r>
    </w:p>
    <w:p w14:paraId="0B82A9DF" w14:textId="77777777" w:rsidR="001B0554" w:rsidRPr="008270B7" w:rsidRDefault="001B0554" w:rsidP="008270B7">
      <w:pPr>
        <w:tabs>
          <w:tab w:val="left" w:pos="720"/>
        </w:tabs>
        <w:jc w:val="both"/>
        <w:rPr>
          <w:rFonts w:cs="Arial"/>
          <w:sz w:val="16"/>
          <w:szCs w:val="16"/>
        </w:rPr>
      </w:pPr>
    </w:p>
    <w:p w14:paraId="2EBB92D0" w14:textId="77777777" w:rsidR="001B0554" w:rsidRPr="008270B7" w:rsidRDefault="001B0554" w:rsidP="008270B7">
      <w:pPr>
        <w:tabs>
          <w:tab w:val="left" w:pos="720"/>
        </w:tabs>
        <w:jc w:val="both"/>
        <w:rPr>
          <w:rFonts w:cs="Arial"/>
          <w:sz w:val="16"/>
          <w:szCs w:val="16"/>
        </w:rPr>
      </w:pPr>
      <w:r w:rsidRPr="008270B7">
        <w:rPr>
          <w:rFonts w:cs="Arial"/>
          <w:sz w:val="16"/>
          <w:szCs w:val="16"/>
        </w:rPr>
        <w:t xml:space="preserve">Campo 5: identificación de acuerdo con la codificación propia de la aseguradora.  </w:t>
      </w:r>
    </w:p>
    <w:p w14:paraId="6CFC0802" w14:textId="77777777" w:rsidR="001B0554" w:rsidRPr="008270B7" w:rsidRDefault="001B0554" w:rsidP="008270B7">
      <w:pPr>
        <w:tabs>
          <w:tab w:val="left" w:pos="720"/>
        </w:tabs>
        <w:jc w:val="both"/>
        <w:rPr>
          <w:rFonts w:cs="Arial"/>
          <w:sz w:val="16"/>
          <w:szCs w:val="16"/>
        </w:rPr>
      </w:pPr>
    </w:p>
    <w:p w14:paraId="1BCC34DB" w14:textId="77777777" w:rsidR="001B0554" w:rsidRPr="008270B7" w:rsidRDefault="001B0554" w:rsidP="008270B7">
      <w:pPr>
        <w:tabs>
          <w:tab w:val="left" w:pos="720"/>
        </w:tabs>
        <w:jc w:val="both"/>
        <w:rPr>
          <w:rFonts w:cs="Arial"/>
          <w:sz w:val="16"/>
          <w:szCs w:val="16"/>
        </w:rPr>
      </w:pPr>
      <w:r w:rsidRPr="008270B7">
        <w:rPr>
          <w:rFonts w:cs="Arial"/>
          <w:sz w:val="16"/>
          <w:szCs w:val="16"/>
        </w:rPr>
        <w:t>Los campos deben estar separados entre sí por un guion (-).</w:t>
      </w:r>
    </w:p>
    <w:p w14:paraId="0414806A" w14:textId="77777777" w:rsidR="001B0554" w:rsidRPr="008270B7" w:rsidRDefault="001B0554" w:rsidP="008270B7">
      <w:pPr>
        <w:tabs>
          <w:tab w:val="left" w:pos="720"/>
        </w:tabs>
        <w:jc w:val="both"/>
        <w:rPr>
          <w:rFonts w:cs="Arial"/>
          <w:sz w:val="16"/>
          <w:szCs w:val="16"/>
        </w:rPr>
      </w:pPr>
    </w:p>
    <w:p w14:paraId="218F2798" w14:textId="77777777" w:rsidR="001B0554" w:rsidRPr="008270B7" w:rsidRDefault="001B0554" w:rsidP="008270B7">
      <w:pPr>
        <w:tabs>
          <w:tab w:val="left" w:pos="720"/>
        </w:tabs>
        <w:jc w:val="both"/>
        <w:rPr>
          <w:rFonts w:cs="Arial"/>
          <w:sz w:val="16"/>
          <w:szCs w:val="16"/>
        </w:rPr>
      </w:pPr>
      <w:r w:rsidRPr="008270B7">
        <w:rPr>
          <w:rFonts w:cs="Arial"/>
          <w:sz w:val="16"/>
          <w:szCs w:val="16"/>
        </w:rPr>
        <w:t xml:space="preserve">Campo 6: Deben incluir los canales a través de los cuales se comercialice la póliza. El campo debe estar diligenciado con la letra, en caso de que se comercialice a través de dicho medio, o con un 0 en el evento en que no se comercialice a través </w:t>
      </w:r>
      <w:proofErr w:type="gramStart"/>
      <w:r w:rsidRPr="008270B7">
        <w:rPr>
          <w:rFonts w:cs="Arial"/>
          <w:sz w:val="16"/>
          <w:szCs w:val="16"/>
        </w:rPr>
        <w:t>del mismo</w:t>
      </w:r>
      <w:proofErr w:type="gramEnd"/>
      <w:r w:rsidRPr="008270B7">
        <w:rPr>
          <w:rFonts w:cs="Arial"/>
          <w:sz w:val="16"/>
          <w:szCs w:val="16"/>
        </w:rPr>
        <w:t>, conservando siempre los 4 caracteres. Para cada medio se debe marcar:</w:t>
      </w:r>
    </w:p>
    <w:p w14:paraId="0BEEB7D5" w14:textId="77777777" w:rsidR="001B0554" w:rsidRPr="008270B7" w:rsidRDefault="001B0554" w:rsidP="008270B7">
      <w:pPr>
        <w:tabs>
          <w:tab w:val="left" w:pos="720"/>
        </w:tabs>
        <w:jc w:val="both"/>
        <w:rPr>
          <w:rFonts w:cs="Arial"/>
          <w:sz w:val="16"/>
          <w:szCs w:val="16"/>
        </w:rPr>
      </w:pPr>
    </w:p>
    <w:p w14:paraId="600F100A" w14:textId="77777777" w:rsidR="001B0554" w:rsidRPr="008270B7" w:rsidRDefault="001B0554" w:rsidP="008270B7">
      <w:pPr>
        <w:tabs>
          <w:tab w:val="left" w:pos="720"/>
        </w:tabs>
        <w:jc w:val="both"/>
        <w:rPr>
          <w:rFonts w:cs="Arial"/>
          <w:sz w:val="16"/>
          <w:szCs w:val="16"/>
        </w:rPr>
      </w:pPr>
      <w:proofErr w:type="gramStart"/>
      <w:r w:rsidRPr="008270B7">
        <w:rPr>
          <w:rFonts w:cs="Arial"/>
          <w:sz w:val="16"/>
          <w:szCs w:val="16"/>
        </w:rPr>
        <w:t>D  -</w:t>
      </w:r>
      <w:proofErr w:type="gramEnd"/>
      <w:r w:rsidRPr="008270B7">
        <w:rPr>
          <w:rFonts w:cs="Arial"/>
          <w:sz w:val="16"/>
          <w:szCs w:val="16"/>
        </w:rPr>
        <w:t xml:space="preserve"> Venta directa de la entidad aseguradora</w:t>
      </w:r>
    </w:p>
    <w:p w14:paraId="3CE7292C" w14:textId="77777777" w:rsidR="001B0554" w:rsidRPr="008270B7" w:rsidRDefault="001B0554" w:rsidP="008270B7">
      <w:pPr>
        <w:tabs>
          <w:tab w:val="left" w:pos="720"/>
        </w:tabs>
        <w:jc w:val="both"/>
        <w:rPr>
          <w:rFonts w:cs="Arial"/>
          <w:sz w:val="16"/>
          <w:szCs w:val="16"/>
        </w:rPr>
      </w:pPr>
      <w:proofErr w:type="gramStart"/>
      <w:r w:rsidRPr="008270B7">
        <w:rPr>
          <w:rFonts w:cs="Arial"/>
          <w:sz w:val="16"/>
          <w:szCs w:val="16"/>
        </w:rPr>
        <w:t>R  -</w:t>
      </w:r>
      <w:proofErr w:type="gramEnd"/>
      <w:r w:rsidRPr="008270B7">
        <w:rPr>
          <w:rFonts w:cs="Arial"/>
          <w:sz w:val="16"/>
          <w:szCs w:val="16"/>
        </w:rPr>
        <w:t xml:space="preserve"> Contratos de uso de red</w:t>
      </w:r>
    </w:p>
    <w:p w14:paraId="0B235926" w14:textId="77777777" w:rsidR="001B0554" w:rsidRPr="008270B7" w:rsidRDefault="001B0554" w:rsidP="008270B7">
      <w:pPr>
        <w:tabs>
          <w:tab w:val="left" w:pos="720"/>
        </w:tabs>
        <w:jc w:val="both"/>
        <w:rPr>
          <w:rFonts w:cs="Arial"/>
          <w:sz w:val="16"/>
          <w:szCs w:val="16"/>
        </w:rPr>
      </w:pPr>
      <w:proofErr w:type="gramStart"/>
      <w:r w:rsidRPr="008270B7">
        <w:rPr>
          <w:rFonts w:cs="Arial"/>
          <w:sz w:val="16"/>
          <w:szCs w:val="16"/>
        </w:rPr>
        <w:t>C  -</w:t>
      </w:r>
      <w:proofErr w:type="gramEnd"/>
      <w:r w:rsidRPr="008270B7">
        <w:rPr>
          <w:rFonts w:cs="Arial"/>
          <w:sz w:val="16"/>
          <w:szCs w:val="16"/>
        </w:rPr>
        <w:t xml:space="preserve"> Corresponsales</w:t>
      </w:r>
    </w:p>
    <w:p w14:paraId="661FCA50" w14:textId="77777777" w:rsidR="001B0554" w:rsidRPr="008270B7" w:rsidRDefault="001B0554" w:rsidP="008270B7">
      <w:pPr>
        <w:tabs>
          <w:tab w:val="left" w:pos="720"/>
        </w:tabs>
        <w:jc w:val="both"/>
        <w:rPr>
          <w:rFonts w:cs="Arial"/>
          <w:sz w:val="16"/>
          <w:szCs w:val="16"/>
        </w:rPr>
      </w:pPr>
      <w:r w:rsidRPr="008270B7">
        <w:rPr>
          <w:rFonts w:cs="Arial"/>
          <w:sz w:val="16"/>
          <w:szCs w:val="16"/>
        </w:rPr>
        <w:t>I   - Intermediarios de seguros</w:t>
      </w:r>
    </w:p>
    <w:p w14:paraId="3D69ED18" w14:textId="77777777" w:rsidR="003D3E9A" w:rsidRPr="008270B7" w:rsidRDefault="003D3E9A" w:rsidP="008270B7">
      <w:pPr>
        <w:tabs>
          <w:tab w:val="left" w:pos="720"/>
        </w:tabs>
        <w:jc w:val="both"/>
        <w:rPr>
          <w:rFonts w:cs="Arial"/>
          <w:sz w:val="16"/>
          <w:szCs w:val="16"/>
        </w:rPr>
        <w:sectPr w:rsidR="003D3E9A" w:rsidRPr="008270B7" w:rsidSect="003D3E9A">
          <w:headerReference w:type="first" r:id="rId23"/>
          <w:footerReference w:type="first" r:id="rId24"/>
          <w:pgSz w:w="12240" w:h="18720" w:code="257"/>
          <w:pgMar w:top="1417" w:right="1701" w:bottom="1417" w:left="1701" w:header="709" w:footer="865" w:gutter="0"/>
          <w:pgNumType w:start="3"/>
          <w:cols w:space="708"/>
          <w:titlePg/>
          <w:docGrid w:linePitch="360"/>
        </w:sectPr>
      </w:pPr>
    </w:p>
    <w:p w14:paraId="3F7A71EB" w14:textId="77777777" w:rsidR="003D3E9A" w:rsidRPr="008270B7" w:rsidRDefault="003D3E9A" w:rsidP="008270B7">
      <w:pPr>
        <w:tabs>
          <w:tab w:val="left" w:pos="720"/>
        </w:tabs>
        <w:jc w:val="both"/>
        <w:rPr>
          <w:rFonts w:cs="Arial"/>
          <w:sz w:val="16"/>
          <w:szCs w:val="16"/>
        </w:rPr>
      </w:pPr>
      <w:r w:rsidRPr="008270B7">
        <w:rPr>
          <w:rFonts w:cs="Arial"/>
          <w:sz w:val="16"/>
          <w:szCs w:val="16"/>
        </w:rPr>
        <w:lastRenderedPageBreak/>
        <w:t xml:space="preserve">NOTA 1: En la parte inferior de cada página del documento también debe registrarse el código de la nota técnica correspondiente, de acuerdo con lo definido en el </w:t>
      </w:r>
      <w:proofErr w:type="spellStart"/>
      <w:r w:rsidRPr="008270B7">
        <w:rPr>
          <w:rFonts w:cs="Arial"/>
          <w:sz w:val="16"/>
          <w:szCs w:val="16"/>
        </w:rPr>
        <w:t>subnumeral</w:t>
      </w:r>
      <w:proofErr w:type="spellEnd"/>
      <w:r w:rsidRPr="008270B7">
        <w:rPr>
          <w:rFonts w:cs="Arial"/>
          <w:sz w:val="16"/>
          <w:szCs w:val="16"/>
        </w:rPr>
        <w:t xml:space="preserve"> 1.8.1.2 del presente Capítulo.</w:t>
      </w:r>
    </w:p>
    <w:p w14:paraId="577122A1" w14:textId="77777777" w:rsidR="003D3E9A" w:rsidRPr="008270B7" w:rsidRDefault="003D3E9A" w:rsidP="008270B7">
      <w:pPr>
        <w:jc w:val="both"/>
        <w:rPr>
          <w:rFonts w:cs="Arial"/>
          <w:sz w:val="16"/>
          <w:szCs w:val="16"/>
        </w:rPr>
      </w:pPr>
    </w:p>
    <w:p w14:paraId="2A4A67A9" w14:textId="77777777" w:rsidR="003D3E9A" w:rsidRPr="008270B7" w:rsidRDefault="003D3E9A" w:rsidP="008270B7">
      <w:pPr>
        <w:jc w:val="both"/>
        <w:rPr>
          <w:rFonts w:cs="Arial"/>
          <w:sz w:val="16"/>
          <w:szCs w:val="16"/>
        </w:rPr>
      </w:pPr>
      <w:r w:rsidRPr="008270B7">
        <w:rPr>
          <w:rFonts w:cs="Arial"/>
          <w:sz w:val="16"/>
          <w:szCs w:val="16"/>
        </w:rPr>
        <w:t xml:space="preserve">NOTA 2: Remisión de información mediante SIRI y </w:t>
      </w:r>
      <w:r w:rsidRPr="008270B7">
        <w:rPr>
          <w:rFonts w:cs="Arial"/>
          <w:sz w:val="16"/>
          <w:szCs w:val="16"/>
          <w:lang w:val="es-CO"/>
        </w:rPr>
        <w:t xml:space="preserve">contenido de los archivos: </w:t>
      </w:r>
      <w:r w:rsidRPr="008270B7">
        <w:rPr>
          <w:rFonts w:cs="Arial"/>
          <w:sz w:val="16"/>
          <w:szCs w:val="16"/>
        </w:rPr>
        <w:t xml:space="preserve">El envío de los modelos de las pólizas, anexos, notas técnicas y demás documentos del producto debe hacerse únicamente mediante SIRI eligiendo el código del trámite “360 Pólizas y Tarifas” o “422 Modificación a Notas Técnicas”, de conformidad con </w:t>
      </w:r>
      <w:r w:rsidRPr="008270B7">
        <w:rPr>
          <w:rFonts w:cs="Arial"/>
          <w:sz w:val="16"/>
          <w:szCs w:val="16"/>
          <w:lang w:val="es-CO"/>
        </w:rPr>
        <w:t>las instrucciones complementarias establecidas en la “Guía Casillero Virtual Formato A-GU-GDC-004, Versión 2”.</w:t>
      </w:r>
    </w:p>
    <w:p w14:paraId="03778AD3" w14:textId="77777777" w:rsidR="003D3E9A" w:rsidRPr="008270B7" w:rsidRDefault="003D3E9A" w:rsidP="008270B7">
      <w:pPr>
        <w:pStyle w:val="Textoindependiente22"/>
        <w:tabs>
          <w:tab w:val="clear" w:pos="851"/>
          <w:tab w:val="left" w:pos="720"/>
        </w:tabs>
        <w:rPr>
          <w:rFonts w:cs="Arial"/>
          <w:sz w:val="16"/>
          <w:szCs w:val="16"/>
          <w:lang w:val="es-CO"/>
        </w:rPr>
      </w:pPr>
    </w:p>
    <w:p w14:paraId="1C157E9F" w14:textId="77777777" w:rsidR="003D3E9A" w:rsidRPr="008270B7" w:rsidRDefault="003D3E9A" w:rsidP="008270B7">
      <w:pPr>
        <w:pStyle w:val="Textoindependiente22"/>
        <w:tabs>
          <w:tab w:val="clear" w:pos="851"/>
          <w:tab w:val="left" w:pos="720"/>
        </w:tabs>
        <w:rPr>
          <w:rFonts w:cs="Arial"/>
          <w:sz w:val="16"/>
          <w:szCs w:val="16"/>
          <w:lang w:val="es-CO"/>
        </w:rPr>
      </w:pPr>
      <w:r w:rsidRPr="008270B7">
        <w:rPr>
          <w:rFonts w:cs="Arial"/>
          <w:sz w:val="16"/>
          <w:szCs w:val="16"/>
          <w:lang w:val="es-CO"/>
        </w:rPr>
        <w:t xml:space="preserve">La radicación de los modelos de pólizas y notas técnicas debe realizarse simultáneamente mediante la clasificación específica al ramo al cual pertenece el producto y debe diligenciarse el formulario en los campos obligatorios. Los códigos registrados en el formulario deben coincidir con los registrados en los documentos adjuntos. La actualización o modificación de un producto debe radicarse teniendo en cuenta el producto inicialmente radicado, con el fin de mantener la trazabilidad de las modificaciones realizadas a cada producto. </w:t>
      </w:r>
    </w:p>
    <w:p w14:paraId="7FA7558D" w14:textId="77777777" w:rsidR="003D3E9A" w:rsidRPr="008270B7" w:rsidRDefault="003D3E9A" w:rsidP="008270B7">
      <w:pPr>
        <w:pStyle w:val="Textoindependiente22"/>
        <w:tabs>
          <w:tab w:val="clear" w:pos="851"/>
          <w:tab w:val="left" w:pos="720"/>
        </w:tabs>
        <w:rPr>
          <w:rFonts w:cs="Arial"/>
          <w:sz w:val="16"/>
          <w:szCs w:val="16"/>
        </w:rPr>
      </w:pPr>
    </w:p>
    <w:p w14:paraId="518A007A" w14:textId="77777777" w:rsidR="003D3E9A" w:rsidRPr="008270B7" w:rsidRDefault="003D3E9A" w:rsidP="008270B7">
      <w:pPr>
        <w:pStyle w:val="Textoindependiente22"/>
        <w:tabs>
          <w:tab w:val="clear" w:pos="851"/>
          <w:tab w:val="left" w:pos="720"/>
        </w:tabs>
        <w:rPr>
          <w:rFonts w:cs="Arial"/>
          <w:sz w:val="16"/>
          <w:szCs w:val="16"/>
          <w:lang w:val="es-CO"/>
        </w:rPr>
      </w:pPr>
      <w:r w:rsidRPr="008270B7">
        <w:rPr>
          <w:rFonts w:cs="Arial"/>
          <w:sz w:val="16"/>
          <w:szCs w:val="16"/>
          <w:lang w:val="es-CO"/>
        </w:rPr>
        <w:t>Los documentos que deben adjuntarse en los campos respectivos son los siguientes:</w:t>
      </w:r>
    </w:p>
    <w:p w14:paraId="364124B5" w14:textId="77777777" w:rsidR="003D3E9A" w:rsidRPr="008270B7" w:rsidRDefault="003D3E9A" w:rsidP="008270B7">
      <w:pPr>
        <w:pStyle w:val="Textoindependiente22"/>
        <w:tabs>
          <w:tab w:val="clear" w:pos="851"/>
          <w:tab w:val="left" w:pos="720"/>
        </w:tabs>
        <w:rPr>
          <w:rFonts w:cs="Arial"/>
          <w:sz w:val="16"/>
          <w:szCs w:val="16"/>
          <w:lang w:val="es-CO"/>
        </w:rPr>
      </w:pPr>
    </w:p>
    <w:p w14:paraId="7C2A0C2A"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1.2.3.1.1. Comunicación mediante la cual la aseguradora señale que remite el modelo de póliza y anexos en cumplimiento del deber legal de depósito, o una nota técnica, que cumpla con los requisitos para el manejo de la correspondencia dirigida a la SFC.</w:t>
      </w:r>
    </w:p>
    <w:p w14:paraId="7421B458" w14:textId="77777777" w:rsidR="003D3E9A" w:rsidRPr="008270B7" w:rsidRDefault="003D3E9A" w:rsidP="008270B7">
      <w:pPr>
        <w:pStyle w:val="Textoindependiente22"/>
        <w:tabs>
          <w:tab w:val="clear" w:pos="851"/>
        </w:tabs>
        <w:rPr>
          <w:rFonts w:cs="Arial"/>
          <w:sz w:val="16"/>
          <w:szCs w:val="16"/>
          <w:lang w:val="es-CO"/>
        </w:rPr>
      </w:pPr>
    </w:p>
    <w:p w14:paraId="4C10955F"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1.2.3.1.2. Póliza, anexo o amparo adicional, según sea el caso, identificados de acuerdo con lo previsto para el Campo 3.</w:t>
      </w:r>
    </w:p>
    <w:p w14:paraId="333F2BAA" w14:textId="77777777" w:rsidR="003D3E9A" w:rsidRPr="008270B7" w:rsidRDefault="003D3E9A" w:rsidP="008270B7">
      <w:pPr>
        <w:pStyle w:val="Textoindependiente22"/>
        <w:tabs>
          <w:tab w:val="clear" w:pos="851"/>
        </w:tabs>
        <w:rPr>
          <w:rFonts w:cs="Arial"/>
          <w:sz w:val="16"/>
          <w:szCs w:val="16"/>
          <w:lang w:val="es-CO"/>
        </w:rPr>
      </w:pPr>
    </w:p>
    <w:p w14:paraId="197ADD8B"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 xml:space="preserve">1.2.3.1.3. Carátula en la cual se debe indicar la proforma de la póliza a la cual corresponde. </w:t>
      </w:r>
    </w:p>
    <w:p w14:paraId="1991ED99" w14:textId="77777777" w:rsidR="003D3E9A" w:rsidRPr="008270B7" w:rsidRDefault="003D3E9A" w:rsidP="008270B7">
      <w:pPr>
        <w:pStyle w:val="Textoindependiente22"/>
        <w:tabs>
          <w:tab w:val="clear" w:pos="851"/>
        </w:tabs>
        <w:rPr>
          <w:rFonts w:cs="Arial"/>
          <w:sz w:val="16"/>
          <w:szCs w:val="16"/>
          <w:lang w:val="es-CO"/>
        </w:rPr>
      </w:pPr>
    </w:p>
    <w:p w14:paraId="0E54C0BB"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1.2.3.1.4. Formato de solicitud de seguro, cuando corresponda.</w:t>
      </w:r>
    </w:p>
    <w:p w14:paraId="6472779C" w14:textId="77777777" w:rsidR="003D3E9A" w:rsidRPr="008270B7" w:rsidRDefault="003D3E9A" w:rsidP="008270B7">
      <w:pPr>
        <w:pStyle w:val="Textoindependiente22"/>
        <w:tabs>
          <w:tab w:val="clear" w:pos="851"/>
        </w:tabs>
        <w:rPr>
          <w:rFonts w:cs="Arial"/>
          <w:sz w:val="16"/>
          <w:szCs w:val="16"/>
          <w:lang w:val="es-CO"/>
        </w:rPr>
      </w:pPr>
    </w:p>
    <w:p w14:paraId="166385EC"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 xml:space="preserve">1.2.3.1.5. Formato de certificado individual de seguro, cuando corresponda. </w:t>
      </w:r>
    </w:p>
    <w:p w14:paraId="031577F2" w14:textId="77777777" w:rsidR="003D3E9A" w:rsidRPr="008270B7" w:rsidRDefault="003D3E9A" w:rsidP="008270B7">
      <w:pPr>
        <w:pStyle w:val="Textoindependiente22"/>
        <w:tabs>
          <w:tab w:val="clear" w:pos="851"/>
        </w:tabs>
        <w:rPr>
          <w:rFonts w:cs="Arial"/>
          <w:sz w:val="16"/>
          <w:szCs w:val="16"/>
          <w:lang w:val="es-CO"/>
        </w:rPr>
      </w:pPr>
    </w:p>
    <w:p w14:paraId="69A71DC8" w14:textId="77777777" w:rsidR="003D3E9A" w:rsidRPr="008270B7" w:rsidRDefault="003D3E9A" w:rsidP="008270B7">
      <w:pPr>
        <w:pStyle w:val="Textoindependiente22"/>
        <w:tabs>
          <w:tab w:val="clear" w:pos="851"/>
        </w:tabs>
        <w:rPr>
          <w:rFonts w:cs="Arial"/>
          <w:sz w:val="16"/>
          <w:szCs w:val="16"/>
          <w:lang w:val="es-CO"/>
        </w:rPr>
      </w:pPr>
      <w:r w:rsidRPr="008270B7">
        <w:rPr>
          <w:rFonts w:cs="Arial"/>
          <w:sz w:val="16"/>
          <w:szCs w:val="16"/>
          <w:lang w:val="es-CO"/>
        </w:rPr>
        <w:t>1.2.3.1.6. Formato de declaración de asegurabilidad, cuando corresponda.</w:t>
      </w:r>
    </w:p>
    <w:p w14:paraId="4B2E7B91" w14:textId="77777777" w:rsidR="003D3E9A" w:rsidRPr="008270B7" w:rsidRDefault="003D3E9A" w:rsidP="008270B7">
      <w:pPr>
        <w:pStyle w:val="Textoindependiente22"/>
        <w:tabs>
          <w:tab w:val="clear" w:pos="851"/>
          <w:tab w:val="left" w:pos="426"/>
        </w:tabs>
        <w:rPr>
          <w:rFonts w:cs="Arial"/>
          <w:sz w:val="16"/>
          <w:szCs w:val="16"/>
          <w:lang w:val="es-CO"/>
        </w:rPr>
      </w:pPr>
    </w:p>
    <w:p w14:paraId="51474876" w14:textId="77777777" w:rsidR="003D3E9A" w:rsidRPr="008270B7" w:rsidRDefault="003D3E9A" w:rsidP="008270B7">
      <w:pPr>
        <w:pStyle w:val="Textoindependiente22"/>
        <w:tabs>
          <w:tab w:val="clear" w:pos="851"/>
          <w:tab w:val="left" w:pos="426"/>
        </w:tabs>
        <w:rPr>
          <w:rFonts w:cs="Arial"/>
          <w:sz w:val="16"/>
          <w:szCs w:val="16"/>
          <w:lang w:val="es-CO"/>
        </w:rPr>
      </w:pPr>
      <w:r w:rsidRPr="008270B7">
        <w:rPr>
          <w:rFonts w:cs="Arial"/>
          <w:sz w:val="16"/>
          <w:szCs w:val="16"/>
          <w:lang w:val="es-CO"/>
        </w:rPr>
        <w:t>1.2.3.1.7. Nota técnica correspondiente</w:t>
      </w:r>
    </w:p>
    <w:p w14:paraId="36B3A817" w14:textId="77777777" w:rsidR="003D3E9A" w:rsidRPr="008270B7" w:rsidRDefault="003D3E9A" w:rsidP="008270B7">
      <w:pPr>
        <w:pStyle w:val="Textoindependiente22"/>
        <w:tabs>
          <w:tab w:val="clear" w:pos="851"/>
          <w:tab w:val="left" w:pos="426"/>
        </w:tabs>
        <w:rPr>
          <w:rFonts w:cs="Arial"/>
          <w:sz w:val="16"/>
          <w:szCs w:val="16"/>
          <w:lang w:val="es-CO"/>
        </w:rPr>
      </w:pPr>
    </w:p>
    <w:p w14:paraId="2544504D" w14:textId="77777777" w:rsidR="003D3E9A" w:rsidRPr="008270B7" w:rsidRDefault="003D3E9A" w:rsidP="008270B7">
      <w:pPr>
        <w:pStyle w:val="Textoindependiente22"/>
        <w:tabs>
          <w:tab w:val="clear" w:pos="851"/>
          <w:tab w:val="left" w:pos="426"/>
        </w:tabs>
        <w:rPr>
          <w:rFonts w:cs="Arial"/>
          <w:sz w:val="16"/>
          <w:szCs w:val="16"/>
        </w:rPr>
      </w:pPr>
      <w:r w:rsidRPr="008270B7">
        <w:rPr>
          <w:rFonts w:cs="Arial"/>
          <w:sz w:val="16"/>
          <w:szCs w:val="16"/>
          <w:lang w:val="es-CO"/>
        </w:rPr>
        <w:t xml:space="preserve">1.2.3.1.8. Se debe también anexar digitalmente mediante una hoja de cálculo en Excel, la aplicación detallada de la formulación expuesta en la Nota Técnica para el cálculo de las primas de riesgo, comercial, reservas, valores garantizados y participación de utilidades, así como cualquier otro desarrollo mostrado en la nota técnica. Asimismo, se debe </w:t>
      </w:r>
      <w:r w:rsidRPr="008270B7">
        <w:rPr>
          <w:rFonts w:cs="Arial"/>
          <w:sz w:val="16"/>
          <w:szCs w:val="16"/>
        </w:rPr>
        <w:t xml:space="preserve">registrar en la parte inferior de cada página del documento el código del clausulado, de acuerdo con los criterios señalados en el presente numeral. </w:t>
      </w:r>
    </w:p>
    <w:p w14:paraId="48C95A90" w14:textId="77777777" w:rsidR="003D3E9A" w:rsidRPr="008270B7" w:rsidRDefault="003D3E9A" w:rsidP="008270B7">
      <w:pPr>
        <w:pStyle w:val="Textoindependiente22"/>
        <w:tabs>
          <w:tab w:val="clear" w:pos="851"/>
          <w:tab w:val="left" w:pos="426"/>
        </w:tabs>
        <w:rPr>
          <w:rFonts w:cs="Arial"/>
          <w:sz w:val="16"/>
          <w:szCs w:val="16"/>
        </w:rPr>
      </w:pPr>
    </w:p>
    <w:p w14:paraId="6FA40FD1" w14:textId="4801A86B" w:rsidR="003D3E9A" w:rsidRPr="008270B7" w:rsidRDefault="003D3E9A" w:rsidP="008270B7">
      <w:pPr>
        <w:pStyle w:val="Textoindependiente22"/>
        <w:tabs>
          <w:tab w:val="clear" w:pos="851"/>
          <w:tab w:val="left" w:pos="426"/>
        </w:tabs>
        <w:rPr>
          <w:rFonts w:cs="Arial"/>
          <w:sz w:val="16"/>
          <w:szCs w:val="16"/>
          <w:lang w:val="es-CO"/>
        </w:rPr>
      </w:pPr>
      <w:r w:rsidRPr="008270B7">
        <w:rPr>
          <w:rFonts w:cs="Arial"/>
          <w:sz w:val="16"/>
          <w:szCs w:val="16"/>
        </w:rPr>
        <w:t xml:space="preserve">Los documentos referidos en los </w:t>
      </w:r>
      <w:proofErr w:type="spellStart"/>
      <w:r w:rsidRPr="008270B7">
        <w:rPr>
          <w:rFonts w:cs="Arial"/>
          <w:sz w:val="16"/>
          <w:szCs w:val="16"/>
        </w:rPr>
        <w:t>subnumerales</w:t>
      </w:r>
      <w:proofErr w:type="spellEnd"/>
      <w:r w:rsidRPr="008270B7">
        <w:rPr>
          <w:rFonts w:cs="Arial"/>
          <w:sz w:val="16"/>
          <w:szCs w:val="16"/>
        </w:rPr>
        <w:t xml:space="preserve"> 1.2.3.1.7 y 1.2.3.1.8 no hacen parte del registro público.</w:t>
      </w:r>
    </w:p>
    <w:p w14:paraId="03FFA609" w14:textId="77777777" w:rsidR="003D3E9A" w:rsidRPr="008270B7" w:rsidRDefault="003D3E9A" w:rsidP="008270B7">
      <w:pPr>
        <w:pStyle w:val="Textoindependiente22"/>
        <w:tabs>
          <w:tab w:val="clear" w:pos="851"/>
          <w:tab w:val="left" w:pos="426"/>
        </w:tabs>
        <w:rPr>
          <w:rFonts w:cs="Arial"/>
          <w:sz w:val="16"/>
          <w:szCs w:val="16"/>
        </w:rPr>
      </w:pPr>
    </w:p>
    <w:p w14:paraId="01916A56" w14:textId="77777777" w:rsidR="003D3E9A" w:rsidRPr="008270B7" w:rsidRDefault="003D3E9A" w:rsidP="008270B7">
      <w:pPr>
        <w:pStyle w:val="Textoindependiente22"/>
        <w:tabs>
          <w:tab w:val="clear" w:pos="851"/>
          <w:tab w:val="left" w:pos="426"/>
        </w:tabs>
        <w:rPr>
          <w:rFonts w:cs="Arial"/>
          <w:sz w:val="16"/>
          <w:szCs w:val="16"/>
        </w:rPr>
      </w:pPr>
      <w:r w:rsidRPr="008270B7">
        <w:rPr>
          <w:rFonts w:cs="Arial"/>
          <w:sz w:val="16"/>
          <w:szCs w:val="16"/>
        </w:rPr>
        <w:t>NOTA 3. Depósito Público de Pólizas del portal web de la SFC</w:t>
      </w:r>
    </w:p>
    <w:p w14:paraId="42A90829" w14:textId="77777777" w:rsidR="003D3E9A" w:rsidRPr="008270B7" w:rsidRDefault="003D3E9A" w:rsidP="008270B7">
      <w:pPr>
        <w:pStyle w:val="Textoindependiente22"/>
        <w:tabs>
          <w:tab w:val="clear" w:pos="851"/>
          <w:tab w:val="left" w:pos="426"/>
        </w:tabs>
        <w:rPr>
          <w:rFonts w:cs="Arial"/>
          <w:sz w:val="16"/>
          <w:szCs w:val="16"/>
        </w:rPr>
      </w:pPr>
    </w:p>
    <w:p w14:paraId="69AAD918" w14:textId="77777777" w:rsidR="003D3E9A" w:rsidRPr="008270B7" w:rsidRDefault="003D3E9A" w:rsidP="008270B7">
      <w:pPr>
        <w:pStyle w:val="Textoindependiente22"/>
        <w:tabs>
          <w:tab w:val="clear" w:pos="851"/>
          <w:tab w:val="left" w:pos="426"/>
        </w:tabs>
        <w:rPr>
          <w:rFonts w:cs="Arial"/>
          <w:sz w:val="16"/>
          <w:szCs w:val="16"/>
        </w:rPr>
      </w:pPr>
      <w:r w:rsidRPr="008270B7">
        <w:rPr>
          <w:rFonts w:cs="Arial"/>
          <w:sz w:val="16"/>
          <w:szCs w:val="16"/>
        </w:rPr>
        <w:t>El Depósito Público de Pólizas disponible en el portal web de la SFC contendrá las pólizas y anexos remitidos por las entidades aseguradoras; y del registro de la información histórica efectuado por cada entidad, el cual permitirá al público consultar en línea las pólizas y anexos depositados.</w:t>
      </w:r>
    </w:p>
    <w:p w14:paraId="5A576EF8" w14:textId="77777777" w:rsidR="003D3E9A" w:rsidRPr="008270B7" w:rsidRDefault="003D3E9A" w:rsidP="008270B7">
      <w:pPr>
        <w:pStyle w:val="Textoindependiente22"/>
        <w:tabs>
          <w:tab w:val="clear" w:pos="851"/>
          <w:tab w:val="left" w:pos="426"/>
        </w:tabs>
        <w:rPr>
          <w:rFonts w:cs="Arial"/>
          <w:sz w:val="16"/>
          <w:szCs w:val="16"/>
        </w:rPr>
      </w:pPr>
    </w:p>
    <w:p w14:paraId="67490698" w14:textId="77777777" w:rsidR="003D3E9A" w:rsidRPr="008270B7" w:rsidRDefault="003D3E9A" w:rsidP="008270B7">
      <w:pPr>
        <w:pStyle w:val="Textoindependiente22"/>
        <w:tabs>
          <w:tab w:val="clear" w:pos="851"/>
          <w:tab w:val="left" w:pos="426"/>
        </w:tabs>
        <w:rPr>
          <w:rFonts w:cs="Arial"/>
          <w:sz w:val="16"/>
          <w:szCs w:val="16"/>
          <w:lang w:val="es-CO"/>
        </w:rPr>
      </w:pPr>
      <w:r w:rsidRPr="008270B7">
        <w:rPr>
          <w:rFonts w:cs="Arial"/>
          <w:sz w:val="16"/>
          <w:szCs w:val="16"/>
        </w:rPr>
        <w:t>Las notas técnicas son objeto de confidencialidad, por lo cual no serán publicadas.</w:t>
      </w:r>
    </w:p>
    <w:p w14:paraId="778EE1A3" w14:textId="77777777" w:rsidR="003D3E9A" w:rsidRPr="008270B7" w:rsidRDefault="003D3E9A" w:rsidP="008270B7">
      <w:pPr>
        <w:pStyle w:val="Textoindependiente22"/>
        <w:tabs>
          <w:tab w:val="clear" w:pos="851"/>
          <w:tab w:val="left" w:pos="426"/>
        </w:tabs>
        <w:rPr>
          <w:rFonts w:cs="Arial"/>
          <w:sz w:val="16"/>
          <w:szCs w:val="16"/>
          <w:lang w:val="es-CO"/>
        </w:rPr>
      </w:pPr>
    </w:p>
    <w:p w14:paraId="3F73240C"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 xml:space="preserve">1.2.3.2. Evaluación de pólizas </w:t>
      </w:r>
    </w:p>
    <w:p w14:paraId="3F3AC7B0" w14:textId="77777777" w:rsidR="003D3E9A" w:rsidRPr="008270B7" w:rsidRDefault="003D3E9A" w:rsidP="008270B7">
      <w:pPr>
        <w:pStyle w:val="Textoindependiente22"/>
        <w:tabs>
          <w:tab w:val="left" w:pos="426"/>
        </w:tabs>
        <w:rPr>
          <w:rFonts w:cs="Arial"/>
          <w:sz w:val="16"/>
          <w:szCs w:val="16"/>
        </w:rPr>
      </w:pPr>
    </w:p>
    <w:p w14:paraId="4D0B70EC"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 xml:space="preserve">Corresponde a la SFC evaluar que las pólizas y tarifas que deban poner las entidades aseguradoras a disposición de esta Entidad cumplan con los requisitos jurídicos y técnicos previstos en la ley. Con tal fin, en cualquier momento –incluso en las visitas de supervisión </w:t>
      </w:r>
      <w:proofErr w:type="spellStart"/>
      <w:r w:rsidRPr="008270B7">
        <w:rPr>
          <w:rFonts w:cs="Arial"/>
          <w:sz w:val="16"/>
          <w:szCs w:val="16"/>
        </w:rPr>
        <w:t>in-situ</w:t>
      </w:r>
      <w:proofErr w:type="spellEnd"/>
      <w:r w:rsidRPr="008270B7">
        <w:rPr>
          <w:rFonts w:cs="Arial"/>
          <w:sz w:val="16"/>
          <w:szCs w:val="16"/>
        </w:rPr>
        <w:t xml:space="preserve">- puede formular las observaciones a las pólizas depositadas para que se adecuen a lo prescrito en la normatividad. </w:t>
      </w:r>
    </w:p>
    <w:p w14:paraId="4AF7DA3C" w14:textId="77777777" w:rsidR="003D3E9A" w:rsidRPr="008270B7" w:rsidRDefault="003D3E9A" w:rsidP="008270B7">
      <w:pPr>
        <w:pStyle w:val="Textoindependiente22"/>
        <w:tabs>
          <w:tab w:val="left" w:pos="426"/>
        </w:tabs>
        <w:rPr>
          <w:rFonts w:cs="Arial"/>
          <w:sz w:val="16"/>
          <w:szCs w:val="16"/>
        </w:rPr>
      </w:pPr>
      <w:r w:rsidRPr="008270B7" w:rsidDel="002845EB">
        <w:rPr>
          <w:rFonts w:cs="Arial"/>
          <w:sz w:val="16"/>
          <w:szCs w:val="16"/>
        </w:rPr>
        <w:t xml:space="preserve"> </w:t>
      </w:r>
    </w:p>
    <w:p w14:paraId="217C1B19"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En los eventos en que se efectúen modificaciones a los modelos de las pólizas ya sea por orden de la SFC o por iniciativa de la entidad aseguradora, se debe remitir un nuevo ejemplar a fin de que éste repose en el depósito, indicando claramente la variación introducida y dejando expresa constancia en el sentido de que el producto no ha sido objeto de modificaciones adicionales a las enunciadas.</w:t>
      </w:r>
    </w:p>
    <w:p w14:paraId="312845C1" w14:textId="77777777" w:rsidR="003D3E9A" w:rsidRPr="008270B7" w:rsidRDefault="003D3E9A" w:rsidP="008270B7">
      <w:pPr>
        <w:pStyle w:val="Textoindependiente22"/>
        <w:tabs>
          <w:tab w:val="left" w:pos="426"/>
        </w:tabs>
        <w:rPr>
          <w:rFonts w:cs="Arial"/>
          <w:sz w:val="16"/>
          <w:szCs w:val="16"/>
        </w:rPr>
      </w:pPr>
    </w:p>
    <w:p w14:paraId="7108D560"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1.2.3.3. Evaluación de tarifas</w:t>
      </w:r>
    </w:p>
    <w:p w14:paraId="7AEEC306" w14:textId="77777777" w:rsidR="003D3E9A" w:rsidRPr="008270B7" w:rsidRDefault="003D3E9A" w:rsidP="008270B7">
      <w:pPr>
        <w:pStyle w:val="Textoindependiente22"/>
        <w:tabs>
          <w:tab w:val="left" w:pos="426"/>
        </w:tabs>
        <w:rPr>
          <w:rFonts w:cs="Arial"/>
          <w:sz w:val="16"/>
          <w:szCs w:val="16"/>
        </w:rPr>
      </w:pPr>
    </w:p>
    <w:p w14:paraId="34BCC6D3"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 xml:space="preserve">Para efectos de la verificación permanente de los requisitos jurídicos y técnicos de las tarifas, las entidades aseguradoras deben mantenerlas a disposición de la SFC, clasificadas por ramos, junto con los elementos documentales y soportes estadísticos correspondientes, salvo cuando deban remitirse por tratarse de la autorización o de la correspondiente para la explotación de un nuevo ramo.  </w:t>
      </w:r>
    </w:p>
    <w:p w14:paraId="49245A0E" w14:textId="77777777" w:rsidR="003D3E9A" w:rsidRPr="008270B7" w:rsidRDefault="003D3E9A" w:rsidP="008270B7">
      <w:pPr>
        <w:pStyle w:val="Textoindependiente22"/>
        <w:tabs>
          <w:tab w:val="left" w:pos="426"/>
        </w:tabs>
        <w:rPr>
          <w:rFonts w:cs="Arial"/>
          <w:sz w:val="16"/>
          <w:szCs w:val="16"/>
        </w:rPr>
      </w:pPr>
    </w:p>
    <w:p w14:paraId="129F96EB" w14:textId="77777777" w:rsidR="003D3E9A" w:rsidRPr="008270B7" w:rsidRDefault="003D3E9A" w:rsidP="008270B7">
      <w:pPr>
        <w:jc w:val="both"/>
        <w:rPr>
          <w:rFonts w:cs="Arial"/>
          <w:sz w:val="16"/>
          <w:szCs w:val="16"/>
          <w:lang w:val="es-CO"/>
        </w:rPr>
      </w:pPr>
      <w:r w:rsidRPr="008270B7">
        <w:rPr>
          <w:rFonts w:cs="Arial"/>
          <w:sz w:val="16"/>
          <w:szCs w:val="16"/>
          <w:lang w:val="es-CO"/>
        </w:rPr>
        <w:t xml:space="preserve">En caso de que la tarifa haya sido sustentada a partir de la tasa definida por el reasegurador, las entidades aseguradoras deben mantener a disposición de la SFC los soportes del envío de información a los reaseguradores para efectos de lo dispuesto en el </w:t>
      </w:r>
      <w:proofErr w:type="spellStart"/>
      <w:r w:rsidRPr="008270B7">
        <w:rPr>
          <w:rFonts w:cs="Arial"/>
          <w:sz w:val="16"/>
          <w:szCs w:val="16"/>
          <w:lang w:val="es-CO"/>
        </w:rPr>
        <w:t>subnumeral</w:t>
      </w:r>
      <w:proofErr w:type="spellEnd"/>
      <w:r w:rsidRPr="008270B7">
        <w:rPr>
          <w:rFonts w:cs="Arial"/>
          <w:sz w:val="16"/>
          <w:szCs w:val="16"/>
          <w:lang w:val="es-CO"/>
        </w:rPr>
        <w:t xml:space="preserve"> 1.8.3.2 del presente Capítulo, así como de la información adicional intercambiada en el proceso de definición de las condiciones del contrato de reaseguro. Dicha información debe comprender, como mínimo, lo siguiente: (i) la descripción y cuantificación del mercado que la entidad aseguradora pretende atender con el producto, </w:t>
      </w:r>
      <w:r w:rsidRPr="008270B7">
        <w:rPr>
          <w:rFonts w:cs="Arial"/>
          <w:sz w:val="16"/>
          <w:szCs w:val="16"/>
        </w:rPr>
        <w:t>salvo en el caso de riesgos especiales o de carácter novedoso</w:t>
      </w:r>
      <w:r w:rsidRPr="008270B7">
        <w:rPr>
          <w:rFonts w:cs="Arial"/>
          <w:sz w:val="16"/>
          <w:szCs w:val="16"/>
          <w:lang w:val="es-CO"/>
        </w:rPr>
        <w:t>; (</w:t>
      </w:r>
      <w:proofErr w:type="spellStart"/>
      <w:r w:rsidRPr="008270B7">
        <w:rPr>
          <w:rFonts w:cs="Arial"/>
          <w:sz w:val="16"/>
          <w:szCs w:val="16"/>
          <w:lang w:val="es-CO"/>
        </w:rPr>
        <w:t>ii</w:t>
      </w:r>
      <w:proofErr w:type="spellEnd"/>
      <w:r w:rsidRPr="008270B7">
        <w:rPr>
          <w:rFonts w:cs="Arial"/>
          <w:sz w:val="16"/>
          <w:szCs w:val="16"/>
          <w:lang w:val="es-CO"/>
        </w:rPr>
        <w:t>) el clausulado y la documentación soporte del producto a comercializar por parte de la entidad aseguradora; y (</w:t>
      </w:r>
      <w:proofErr w:type="spellStart"/>
      <w:r w:rsidRPr="008270B7">
        <w:rPr>
          <w:rFonts w:cs="Arial"/>
          <w:sz w:val="16"/>
          <w:szCs w:val="16"/>
          <w:lang w:val="es-CO"/>
        </w:rPr>
        <w:t>iii</w:t>
      </w:r>
      <w:proofErr w:type="spellEnd"/>
      <w:r w:rsidRPr="008270B7">
        <w:rPr>
          <w:rFonts w:cs="Arial"/>
          <w:sz w:val="16"/>
          <w:szCs w:val="16"/>
          <w:lang w:val="es-CO"/>
        </w:rPr>
        <w:t>) la información adicional que solicite el reasegurador en el proceso de tarifación. Adicionalmente, las entidades aseguradoras deben mantener el soporte documental de la tasa definida por el reasegurador, sus eventuales ajustes, así como los acuerdos en relación con los recargos, descuentos aplicables a la tasa y los límites de estos, según sea el caso.</w:t>
      </w:r>
    </w:p>
    <w:p w14:paraId="0F6D61F5" w14:textId="77777777" w:rsidR="003D3E9A" w:rsidRPr="008270B7" w:rsidRDefault="003D3E9A" w:rsidP="008270B7">
      <w:pPr>
        <w:jc w:val="both"/>
        <w:rPr>
          <w:sz w:val="16"/>
        </w:rPr>
      </w:pPr>
    </w:p>
    <w:p w14:paraId="175D87D3"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 xml:space="preserve">Para efectos de verificar el cumplimiento de lo dispuesto en el literal a. del art. 2.31.4.1.6 del Decreto 2555 de 2010, cuando las entidades aseguradoras de vida envíen los productos de seguros con reserva matemática que van a comercializar, deben remitir las notas técnicas de los mismos, especificando el nombre comercial del producto al cual acceden, las bases técnicas y los factores de reserva, de acuerdo con lo dispuesto en el </w:t>
      </w:r>
      <w:proofErr w:type="spellStart"/>
      <w:r w:rsidRPr="008270B7">
        <w:rPr>
          <w:rFonts w:cs="Arial"/>
          <w:sz w:val="16"/>
          <w:szCs w:val="16"/>
        </w:rPr>
        <w:t>subnumeral</w:t>
      </w:r>
      <w:proofErr w:type="spellEnd"/>
      <w:r w:rsidRPr="008270B7">
        <w:rPr>
          <w:rFonts w:cs="Arial"/>
          <w:sz w:val="16"/>
          <w:szCs w:val="16"/>
        </w:rPr>
        <w:t xml:space="preserve"> 1.8 del presente Capítulo. Tratándose de seguros de vida de ahorro con participación resulta necesario informar la manera como se estructurará el fondo que se establece en el art. 6, literal b. del Decreto 839 de 1991 y las reglas para su funcionamiento</w:t>
      </w:r>
    </w:p>
    <w:p w14:paraId="7253AA66" w14:textId="24ACE1C2" w:rsidR="003D3E9A" w:rsidRPr="008270B7" w:rsidRDefault="003D3E9A" w:rsidP="008270B7">
      <w:pPr>
        <w:pStyle w:val="Textoindependiente22"/>
        <w:tabs>
          <w:tab w:val="left" w:pos="426"/>
        </w:tabs>
        <w:rPr>
          <w:rFonts w:cs="Arial"/>
          <w:sz w:val="16"/>
          <w:szCs w:val="16"/>
        </w:rPr>
        <w:sectPr w:rsidR="003D3E9A" w:rsidRPr="008270B7" w:rsidSect="00697CF2">
          <w:footerReference w:type="first" r:id="rId25"/>
          <w:pgSz w:w="12240" w:h="18720" w:code="257"/>
          <w:pgMar w:top="1417" w:right="1701" w:bottom="1417" w:left="1701" w:header="709" w:footer="865" w:gutter="0"/>
          <w:cols w:space="708"/>
          <w:titlePg/>
          <w:docGrid w:linePitch="360"/>
        </w:sectPr>
      </w:pPr>
    </w:p>
    <w:p w14:paraId="0EBD0651" w14:textId="77777777" w:rsidR="003D3E9A" w:rsidRPr="008270B7" w:rsidRDefault="003D3E9A" w:rsidP="008270B7">
      <w:pPr>
        <w:pStyle w:val="Textoindependiente22"/>
        <w:tabs>
          <w:tab w:val="left" w:pos="426"/>
        </w:tabs>
        <w:rPr>
          <w:rFonts w:cs="Arial"/>
          <w:sz w:val="16"/>
          <w:szCs w:val="16"/>
        </w:rPr>
      </w:pPr>
    </w:p>
    <w:p w14:paraId="04A7FD43"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1.2.4. Incumplimiento de exigencias legales</w:t>
      </w:r>
    </w:p>
    <w:p w14:paraId="3BABB0C8" w14:textId="77777777" w:rsidR="003D3E9A" w:rsidRPr="008270B7" w:rsidRDefault="003D3E9A" w:rsidP="008270B7">
      <w:pPr>
        <w:pStyle w:val="Textoindependiente22"/>
        <w:tabs>
          <w:tab w:val="left" w:pos="426"/>
        </w:tabs>
        <w:rPr>
          <w:rFonts w:cs="Arial"/>
          <w:sz w:val="16"/>
          <w:szCs w:val="16"/>
        </w:rPr>
      </w:pPr>
    </w:p>
    <w:p w14:paraId="44A9C066" w14:textId="77777777" w:rsidR="003D3E9A" w:rsidRPr="008270B7" w:rsidRDefault="003D3E9A" w:rsidP="008270B7">
      <w:pPr>
        <w:pStyle w:val="Textoindependiente22"/>
        <w:tabs>
          <w:tab w:val="left" w:pos="426"/>
        </w:tabs>
        <w:rPr>
          <w:rFonts w:cs="Arial"/>
          <w:sz w:val="16"/>
          <w:szCs w:val="16"/>
        </w:rPr>
      </w:pPr>
      <w:r w:rsidRPr="008270B7">
        <w:rPr>
          <w:rFonts w:cs="Arial"/>
          <w:sz w:val="16"/>
          <w:szCs w:val="16"/>
        </w:rPr>
        <w:t>El incumplimiento de cualquiera de los requisitos legales antes señalados es causal para que la SFC prohíba la utilización de la póliza o tarifa correspondiente hasta tanto se acredite el cumplimiento del requisito respectivo o, incluso, pueda suspenderse el certificado de autorización de la entidad cuando tales deficiencias resulten sistemáticas. Ello sin perjuicio de las sanciones legales procedentes.</w:t>
      </w:r>
    </w:p>
    <w:p w14:paraId="3F46D76E" w14:textId="77777777" w:rsidR="003D3E9A" w:rsidRPr="008270B7" w:rsidRDefault="003D3E9A" w:rsidP="008270B7">
      <w:pPr>
        <w:pStyle w:val="Textoindependiente22"/>
        <w:tabs>
          <w:tab w:val="left" w:pos="426"/>
        </w:tabs>
        <w:rPr>
          <w:rFonts w:cs="Arial"/>
          <w:sz w:val="16"/>
          <w:szCs w:val="16"/>
        </w:rPr>
      </w:pPr>
    </w:p>
    <w:p w14:paraId="1BC370A7" w14:textId="77777777" w:rsidR="003D3E9A" w:rsidRPr="008270B7" w:rsidRDefault="003D3E9A" w:rsidP="008270B7">
      <w:pPr>
        <w:pStyle w:val="Textoindependiente22"/>
        <w:tabs>
          <w:tab w:val="left" w:pos="426"/>
        </w:tabs>
        <w:rPr>
          <w:rFonts w:cs="Arial"/>
          <w:iCs/>
          <w:sz w:val="16"/>
          <w:szCs w:val="16"/>
        </w:rPr>
      </w:pPr>
      <w:bookmarkStart w:id="1" w:name="_Toc269950156"/>
      <w:r w:rsidRPr="008270B7">
        <w:rPr>
          <w:rFonts w:cs="Arial"/>
          <w:iCs/>
          <w:sz w:val="16"/>
          <w:szCs w:val="16"/>
        </w:rPr>
        <w:t>1.3. Negocios en coaseguro</w:t>
      </w:r>
      <w:bookmarkEnd w:id="1"/>
    </w:p>
    <w:p w14:paraId="33C57A67" w14:textId="77777777" w:rsidR="003D3E9A" w:rsidRPr="008270B7" w:rsidRDefault="003D3E9A" w:rsidP="008270B7">
      <w:pPr>
        <w:pStyle w:val="Textoindependiente22"/>
        <w:tabs>
          <w:tab w:val="left" w:pos="426"/>
        </w:tabs>
        <w:rPr>
          <w:rFonts w:cs="Arial"/>
          <w:sz w:val="16"/>
          <w:szCs w:val="16"/>
        </w:rPr>
      </w:pPr>
    </w:p>
    <w:p w14:paraId="4196632E" w14:textId="39F5A30D" w:rsidR="001B0554" w:rsidRPr="008270B7" w:rsidRDefault="003D3E9A" w:rsidP="008270B7">
      <w:pPr>
        <w:pStyle w:val="Textoindependiente22"/>
        <w:tabs>
          <w:tab w:val="left" w:pos="426"/>
        </w:tabs>
        <w:rPr>
          <w:rFonts w:cs="Arial"/>
          <w:sz w:val="16"/>
          <w:szCs w:val="16"/>
        </w:rPr>
      </w:pPr>
      <w:r w:rsidRPr="008270B7">
        <w:rPr>
          <w:rFonts w:cs="Arial"/>
          <w:sz w:val="16"/>
          <w:szCs w:val="16"/>
        </w:rPr>
        <w:t>Para una adecuada gestión de los riesgos propios, los negocios que las entidades aseguradoras lleven en coaseguro deben acogerse al siguiente procedimiento</w:t>
      </w:r>
    </w:p>
    <w:p w14:paraId="553769BD" w14:textId="77777777" w:rsidR="003D3E9A" w:rsidRPr="008270B7" w:rsidRDefault="003D3E9A" w:rsidP="008270B7">
      <w:pPr>
        <w:pStyle w:val="Textoindependiente22"/>
        <w:tabs>
          <w:tab w:val="left" w:pos="426"/>
        </w:tabs>
        <w:rPr>
          <w:rFonts w:cs="Arial"/>
          <w:sz w:val="16"/>
          <w:szCs w:val="16"/>
        </w:rPr>
        <w:sectPr w:rsidR="003D3E9A" w:rsidRPr="008270B7" w:rsidSect="003D3E9A">
          <w:headerReference w:type="first" r:id="rId26"/>
          <w:footerReference w:type="first" r:id="rId27"/>
          <w:pgSz w:w="12240" w:h="18720" w:code="257"/>
          <w:pgMar w:top="1417" w:right="1701" w:bottom="1417" w:left="1701" w:header="709" w:footer="865" w:gutter="0"/>
          <w:pgNumType w:start="4"/>
          <w:cols w:space="708"/>
          <w:titlePg/>
          <w:docGrid w:linePitch="360"/>
        </w:sectPr>
      </w:pPr>
    </w:p>
    <w:p w14:paraId="43508C86" w14:textId="77777777" w:rsidR="001B0554" w:rsidRPr="008270B7" w:rsidRDefault="001B0554" w:rsidP="008270B7">
      <w:pPr>
        <w:pStyle w:val="Textoindependiente22"/>
        <w:tabs>
          <w:tab w:val="left" w:pos="426"/>
        </w:tabs>
        <w:rPr>
          <w:rFonts w:cs="Arial"/>
          <w:sz w:val="16"/>
          <w:szCs w:val="16"/>
        </w:rPr>
      </w:pPr>
      <w:r w:rsidRPr="008270B7">
        <w:rPr>
          <w:rFonts w:cs="Arial"/>
          <w:sz w:val="16"/>
          <w:szCs w:val="16"/>
        </w:rPr>
        <w:lastRenderedPageBreak/>
        <w:t>1.3.1. Aspectos generales</w:t>
      </w:r>
    </w:p>
    <w:p w14:paraId="042BC55A" w14:textId="77777777" w:rsidR="001B0554" w:rsidRPr="008270B7" w:rsidRDefault="001B0554" w:rsidP="008270B7">
      <w:pPr>
        <w:pStyle w:val="Textoindependiente22"/>
        <w:tabs>
          <w:tab w:val="left" w:pos="426"/>
        </w:tabs>
        <w:rPr>
          <w:rFonts w:cs="Arial"/>
          <w:sz w:val="16"/>
          <w:szCs w:val="16"/>
        </w:rPr>
      </w:pPr>
    </w:p>
    <w:p w14:paraId="77715755" w14:textId="77777777" w:rsidR="008270B7" w:rsidRPr="00CC7900" w:rsidRDefault="008270B7" w:rsidP="008270B7">
      <w:pPr>
        <w:pBdr>
          <w:left w:val="single" w:sz="4" w:space="4" w:color="auto"/>
        </w:pBdr>
        <w:shd w:val="clear" w:color="auto" w:fill="FFFFFF"/>
        <w:jc w:val="both"/>
        <w:rPr>
          <w:rFonts w:cs="Arial"/>
          <w:b/>
          <w:bCs/>
          <w:sz w:val="16"/>
          <w:szCs w:val="16"/>
          <w:lang w:val="es-419"/>
        </w:rPr>
      </w:pPr>
      <w:r w:rsidRPr="00CC7900">
        <w:rPr>
          <w:rFonts w:cs="Arial"/>
          <w:b/>
          <w:bCs/>
          <w:sz w:val="16"/>
          <w:szCs w:val="16"/>
          <w:lang w:val="es-419"/>
        </w:rPr>
        <w:t>Los asuntos relacionados con la información financiera del coaseguro se rigen por lo dispuesto en el capítulo XXXV de la CBCF.</w:t>
      </w:r>
    </w:p>
    <w:p w14:paraId="69FB35D7" w14:textId="77777777" w:rsidR="001B0554" w:rsidRPr="008270B7" w:rsidRDefault="001B0554" w:rsidP="008270B7">
      <w:pPr>
        <w:pStyle w:val="Textoindependiente22"/>
        <w:tabs>
          <w:tab w:val="left" w:pos="426"/>
        </w:tabs>
        <w:rPr>
          <w:rFonts w:cs="Arial"/>
          <w:sz w:val="16"/>
          <w:szCs w:val="16"/>
        </w:rPr>
      </w:pPr>
    </w:p>
    <w:p w14:paraId="654D7A34" w14:textId="77777777" w:rsidR="001B0554" w:rsidRPr="008270B7" w:rsidRDefault="001B0554" w:rsidP="008270B7">
      <w:pPr>
        <w:pStyle w:val="Textoindependiente22"/>
        <w:tabs>
          <w:tab w:val="left" w:pos="426"/>
        </w:tabs>
        <w:rPr>
          <w:rFonts w:cs="Arial"/>
          <w:sz w:val="16"/>
          <w:szCs w:val="16"/>
        </w:rPr>
      </w:pPr>
      <w:r w:rsidRPr="008270B7">
        <w:rPr>
          <w:rFonts w:cs="Arial"/>
          <w:sz w:val="16"/>
          <w:szCs w:val="16"/>
        </w:rPr>
        <w:t>El pago de comisiones, impuesto a las ventas y retención en la fuente, cuando a ello hubiere lugar, constituyen obligaciones a cargo de la entidad aseguradora líder. Lo anterior se entiende sin perjuicio del derecho que le asiste a la aseguradora líder de cobrarle a las coaseguradoras aceptantes la parte que les corresponda asumir de las comisiones pagadas.</w:t>
      </w:r>
    </w:p>
    <w:p w14:paraId="68561BD1" w14:textId="77777777" w:rsidR="001B0554" w:rsidRPr="008270B7" w:rsidRDefault="001B0554" w:rsidP="008270B7">
      <w:pPr>
        <w:pStyle w:val="Textoindependiente22"/>
        <w:tabs>
          <w:tab w:val="left" w:pos="426"/>
        </w:tabs>
        <w:rPr>
          <w:rFonts w:cs="Arial"/>
          <w:sz w:val="16"/>
          <w:szCs w:val="16"/>
        </w:rPr>
      </w:pPr>
    </w:p>
    <w:p w14:paraId="4A761597" w14:textId="77777777" w:rsidR="001B0554" w:rsidRPr="008270B7" w:rsidRDefault="001B0554" w:rsidP="008270B7">
      <w:pPr>
        <w:pStyle w:val="Textoindependiente22"/>
        <w:tabs>
          <w:tab w:val="left" w:pos="426"/>
        </w:tabs>
        <w:rPr>
          <w:rFonts w:cs="Arial"/>
          <w:sz w:val="16"/>
          <w:szCs w:val="16"/>
        </w:rPr>
      </w:pPr>
      <w:r w:rsidRPr="008270B7">
        <w:rPr>
          <w:rFonts w:cs="Arial"/>
          <w:sz w:val="16"/>
          <w:szCs w:val="16"/>
        </w:rPr>
        <w:t>1.3.2. Expedición</w:t>
      </w:r>
    </w:p>
    <w:p w14:paraId="2F271494" w14:textId="77777777" w:rsidR="001B0554" w:rsidRPr="008270B7" w:rsidRDefault="001B0554" w:rsidP="008270B7">
      <w:pPr>
        <w:pStyle w:val="Textoindependiente22"/>
        <w:tabs>
          <w:tab w:val="left" w:pos="426"/>
        </w:tabs>
        <w:rPr>
          <w:rFonts w:cs="Arial"/>
          <w:sz w:val="16"/>
          <w:szCs w:val="16"/>
        </w:rPr>
      </w:pPr>
    </w:p>
    <w:p w14:paraId="094D39A0" w14:textId="77777777" w:rsidR="001B0554" w:rsidRPr="008270B7" w:rsidRDefault="001B0554" w:rsidP="008270B7">
      <w:pPr>
        <w:pStyle w:val="Textoindependiente22"/>
        <w:tabs>
          <w:tab w:val="left" w:pos="426"/>
        </w:tabs>
        <w:rPr>
          <w:rFonts w:cs="Arial"/>
          <w:sz w:val="16"/>
          <w:szCs w:val="16"/>
        </w:rPr>
      </w:pPr>
      <w:r w:rsidRPr="008270B7">
        <w:rPr>
          <w:rFonts w:cs="Arial"/>
          <w:sz w:val="16"/>
          <w:szCs w:val="16"/>
        </w:rPr>
        <w:t xml:space="preserve">Una vez acordadas las condiciones técnicas, financieras y administrativas del negocio, la entidad que actúa como líder debe expedir los respectivos documentos, pólizas, certificados y anexos, y remitir copia de </w:t>
      </w:r>
      <w:proofErr w:type="gramStart"/>
      <w:r w:rsidRPr="008270B7">
        <w:rPr>
          <w:rFonts w:cs="Arial"/>
          <w:sz w:val="16"/>
          <w:szCs w:val="16"/>
        </w:rPr>
        <w:t>los mismos</w:t>
      </w:r>
      <w:proofErr w:type="gramEnd"/>
      <w:r w:rsidRPr="008270B7">
        <w:rPr>
          <w:rFonts w:cs="Arial"/>
          <w:sz w:val="16"/>
          <w:szCs w:val="16"/>
        </w:rPr>
        <w:t xml:space="preserve"> a las aceptantes del coaseguro dentro de los 5 días hábiles siguientes a tal expedición.</w:t>
      </w:r>
    </w:p>
    <w:p w14:paraId="72A86A04" w14:textId="77777777" w:rsidR="001B0554" w:rsidRPr="008270B7" w:rsidRDefault="001B0554" w:rsidP="008270B7">
      <w:pPr>
        <w:tabs>
          <w:tab w:val="left" w:pos="720"/>
        </w:tabs>
        <w:jc w:val="both"/>
        <w:rPr>
          <w:rFonts w:cs="Arial"/>
          <w:sz w:val="16"/>
          <w:szCs w:val="16"/>
          <w:lang w:val="es-ES_tradnl"/>
        </w:rPr>
      </w:pPr>
    </w:p>
    <w:p w14:paraId="41F812D0" w14:textId="77777777" w:rsidR="00B10D26" w:rsidRPr="008270B7" w:rsidRDefault="00B10D26" w:rsidP="008270B7">
      <w:pPr>
        <w:tabs>
          <w:tab w:val="left" w:pos="720"/>
        </w:tabs>
        <w:jc w:val="both"/>
        <w:rPr>
          <w:rFonts w:cs="Arial"/>
          <w:sz w:val="16"/>
          <w:szCs w:val="16"/>
        </w:rPr>
      </w:pPr>
      <w:r w:rsidRPr="008270B7">
        <w:rPr>
          <w:rFonts w:cs="Arial"/>
          <w:sz w:val="16"/>
          <w:szCs w:val="16"/>
        </w:rPr>
        <w:t>Las coaseguradoras disponen de un plazo de 5 días hábiles contados desde la fecha de la recepción para pronunciarse sobre los documentos recibidos a fin de devolverlos firmados, objetarlos o solicitar su modificación.</w:t>
      </w:r>
    </w:p>
    <w:p w14:paraId="64F69D09" w14:textId="77777777" w:rsidR="00B10D26" w:rsidRPr="008270B7" w:rsidRDefault="00B10D26" w:rsidP="008270B7">
      <w:pPr>
        <w:tabs>
          <w:tab w:val="left" w:pos="720"/>
        </w:tabs>
        <w:jc w:val="both"/>
        <w:rPr>
          <w:rFonts w:cs="Arial"/>
          <w:sz w:val="16"/>
          <w:szCs w:val="16"/>
        </w:rPr>
      </w:pPr>
    </w:p>
    <w:p w14:paraId="63F35C8D"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Una vez aceptados y firmados los documentos por las coaseguradoras, la líder dispone de un plazo de 5 días hábiles para entregar a las mismas, las respectivas pólizas, certificados y anexos debidamente formalizados.    </w:t>
      </w:r>
    </w:p>
    <w:p w14:paraId="0A3277D9" w14:textId="77777777" w:rsidR="00B10D26" w:rsidRPr="008270B7" w:rsidRDefault="00B10D26" w:rsidP="008270B7">
      <w:pPr>
        <w:tabs>
          <w:tab w:val="left" w:pos="720"/>
        </w:tabs>
        <w:jc w:val="both"/>
        <w:rPr>
          <w:rFonts w:cs="Arial"/>
          <w:sz w:val="16"/>
          <w:szCs w:val="16"/>
        </w:rPr>
      </w:pPr>
    </w:p>
    <w:p w14:paraId="4D2C8584" w14:textId="77777777" w:rsidR="00B10D26" w:rsidRPr="008270B7" w:rsidRDefault="00B10D26" w:rsidP="008270B7">
      <w:pPr>
        <w:tabs>
          <w:tab w:val="left" w:pos="720"/>
        </w:tabs>
        <w:jc w:val="both"/>
        <w:rPr>
          <w:rFonts w:cs="Arial"/>
          <w:sz w:val="16"/>
          <w:szCs w:val="16"/>
        </w:rPr>
      </w:pPr>
      <w:r w:rsidRPr="008270B7">
        <w:rPr>
          <w:rFonts w:cs="Arial"/>
          <w:sz w:val="16"/>
          <w:szCs w:val="16"/>
        </w:rPr>
        <w:t>1.3.3. Remesa</w:t>
      </w:r>
    </w:p>
    <w:p w14:paraId="400AEFF2" w14:textId="77777777" w:rsidR="00B10D26" w:rsidRPr="008270B7" w:rsidRDefault="00B10D26" w:rsidP="008270B7">
      <w:pPr>
        <w:tabs>
          <w:tab w:val="left" w:pos="720"/>
        </w:tabs>
        <w:jc w:val="both"/>
        <w:rPr>
          <w:rFonts w:cs="Arial"/>
          <w:sz w:val="16"/>
          <w:szCs w:val="16"/>
        </w:rPr>
      </w:pPr>
    </w:p>
    <w:p w14:paraId="7EA3EC54" w14:textId="77777777" w:rsidR="00B10D26" w:rsidRPr="008270B7" w:rsidRDefault="00B10D26" w:rsidP="008270B7">
      <w:pPr>
        <w:tabs>
          <w:tab w:val="left" w:pos="720"/>
        </w:tabs>
        <w:jc w:val="both"/>
        <w:rPr>
          <w:rFonts w:cs="Arial"/>
          <w:sz w:val="16"/>
          <w:szCs w:val="16"/>
        </w:rPr>
      </w:pPr>
      <w:r w:rsidRPr="008270B7">
        <w:rPr>
          <w:rFonts w:cs="Arial"/>
          <w:sz w:val="16"/>
          <w:szCs w:val="16"/>
        </w:rPr>
        <w:t>La aseguradora líder debe elaborar un informe mensual (remesa) que registre la totalidad de negocios en coaseguro a su cargo, de acuerdo con la estructura y remitirlo a cada coasegurador a más tardar el día 20 del mes siguiente o día hábil siguiente, junto con el pago neto, si hay lugar a éste, suscrito por una persona autorizada para el efecto.</w:t>
      </w:r>
    </w:p>
    <w:p w14:paraId="71AE556A" w14:textId="77777777" w:rsidR="00B10D26" w:rsidRPr="008270B7" w:rsidRDefault="00B10D26" w:rsidP="008270B7">
      <w:pPr>
        <w:tabs>
          <w:tab w:val="left" w:pos="720"/>
        </w:tabs>
        <w:jc w:val="both"/>
        <w:rPr>
          <w:rFonts w:cs="Arial"/>
          <w:sz w:val="16"/>
          <w:szCs w:val="16"/>
        </w:rPr>
      </w:pPr>
    </w:p>
    <w:p w14:paraId="480FA9EF" w14:textId="77777777" w:rsidR="00B10D26" w:rsidRPr="008270B7" w:rsidRDefault="00B10D26" w:rsidP="008270B7">
      <w:pPr>
        <w:tabs>
          <w:tab w:val="left" w:pos="720"/>
        </w:tabs>
        <w:jc w:val="both"/>
        <w:rPr>
          <w:rFonts w:cs="Arial"/>
          <w:sz w:val="16"/>
          <w:szCs w:val="16"/>
        </w:rPr>
      </w:pPr>
      <w:r w:rsidRPr="008270B7">
        <w:rPr>
          <w:rFonts w:cs="Arial"/>
          <w:sz w:val="16"/>
          <w:szCs w:val="16"/>
        </w:rPr>
        <w:t>La remesa debe tener la siguiente estructura:</w:t>
      </w:r>
    </w:p>
    <w:p w14:paraId="1BF71B5B" w14:textId="77777777" w:rsidR="00B10D26" w:rsidRPr="008270B7" w:rsidRDefault="00B10D26" w:rsidP="008270B7">
      <w:pPr>
        <w:tabs>
          <w:tab w:val="left" w:pos="720"/>
        </w:tabs>
        <w:jc w:val="both"/>
        <w:rPr>
          <w:rFonts w:cs="Arial"/>
          <w:sz w:val="16"/>
          <w:szCs w:val="16"/>
        </w:rPr>
      </w:pPr>
    </w:p>
    <w:p w14:paraId="71E12A41" w14:textId="77777777" w:rsidR="00B10D26" w:rsidRPr="008270B7" w:rsidRDefault="00B10D26" w:rsidP="008270B7">
      <w:pPr>
        <w:tabs>
          <w:tab w:val="left" w:pos="720"/>
        </w:tabs>
        <w:jc w:val="both"/>
        <w:rPr>
          <w:rFonts w:cs="Arial"/>
          <w:sz w:val="16"/>
          <w:szCs w:val="16"/>
        </w:rPr>
      </w:pPr>
      <w:r w:rsidRPr="008270B7">
        <w:rPr>
          <w:rFonts w:cs="Arial"/>
          <w:sz w:val="16"/>
          <w:szCs w:val="16"/>
        </w:rPr>
        <w:t>1.3.3.1. Informe uno - Informe general: Es el informe general de la remesa, el cual debe incluir los totales de los siguientes rubros: primas pagadas, primas financiadas, salvamentos, otros ingresos, comisiones, gastos de administración, otros egresos, siniestros y valor neto de la remesa.</w:t>
      </w:r>
    </w:p>
    <w:p w14:paraId="661EE24B" w14:textId="77777777" w:rsidR="00B10D26" w:rsidRPr="008270B7" w:rsidRDefault="00B10D26" w:rsidP="008270B7">
      <w:pPr>
        <w:tabs>
          <w:tab w:val="left" w:pos="720"/>
        </w:tabs>
        <w:jc w:val="both"/>
        <w:rPr>
          <w:rFonts w:cs="Arial"/>
          <w:sz w:val="16"/>
          <w:szCs w:val="16"/>
        </w:rPr>
      </w:pPr>
    </w:p>
    <w:p w14:paraId="49DC39A0"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El valor registrado en otros ingresos y otros egresos debe estar debidamente soportado, es decir, se requiere especificar cada una de las partidas que lo conforman y anexar los documentos pertinentes. </w:t>
      </w:r>
    </w:p>
    <w:p w14:paraId="209B9BEC" w14:textId="77777777" w:rsidR="00B10D26" w:rsidRPr="008270B7" w:rsidRDefault="00B10D26" w:rsidP="008270B7">
      <w:pPr>
        <w:tabs>
          <w:tab w:val="left" w:pos="720"/>
        </w:tabs>
        <w:jc w:val="both"/>
        <w:rPr>
          <w:rFonts w:cs="Arial"/>
          <w:sz w:val="16"/>
          <w:szCs w:val="16"/>
        </w:rPr>
      </w:pPr>
    </w:p>
    <w:p w14:paraId="0CB97CB0" w14:textId="77777777" w:rsidR="00B10D26" w:rsidRPr="008270B7" w:rsidRDefault="00B10D26" w:rsidP="008270B7">
      <w:pPr>
        <w:tabs>
          <w:tab w:val="left" w:pos="720"/>
        </w:tabs>
        <w:jc w:val="both"/>
        <w:rPr>
          <w:rFonts w:cs="Arial"/>
          <w:sz w:val="16"/>
          <w:szCs w:val="16"/>
        </w:rPr>
      </w:pPr>
      <w:r w:rsidRPr="008270B7">
        <w:rPr>
          <w:rFonts w:cs="Arial"/>
          <w:sz w:val="16"/>
          <w:szCs w:val="16"/>
        </w:rPr>
        <w:t>1.3.3.2. Informe dos - Primas recaudadas y comisiones: Comprende una relación detallada de primas y comisiones, la cual debe contener la siguiente información: sucursal, tomador, ramo, póliza, prima pagada, clase de pago (determinando si es total o abono), porcentaje de comisión, valor de la comisión e intermediario, certificado, porcentaje y valor de los gastos de administración. En el caso de recaudos en otras monedas se debe especificar la tasa de cambio del día en que tomador pagó la prima.</w:t>
      </w:r>
    </w:p>
    <w:p w14:paraId="42F11825" w14:textId="77777777" w:rsidR="00B10D26" w:rsidRPr="008270B7" w:rsidRDefault="00B10D26" w:rsidP="008270B7">
      <w:pPr>
        <w:tabs>
          <w:tab w:val="left" w:pos="720"/>
        </w:tabs>
        <w:jc w:val="both"/>
        <w:rPr>
          <w:rFonts w:cs="Arial"/>
          <w:sz w:val="16"/>
          <w:szCs w:val="16"/>
        </w:rPr>
      </w:pPr>
    </w:p>
    <w:p w14:paraId="363823BA"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1.3.3.3. Informe tres - Siniestros Incurridos: Es un compendio detallado de los siniestros pagados, salvamentos, recobros, reintegros y reservas de siniestros pendientes, el cual debe contener la siguiente información: sucursal, asegurado, ramo, póliza, certificado afectado, número de reclamo de la </w:t>
      </w:r>
      <w:r w:rsidR="00535EFF" w:rsidRPr="008270B7">
        <w:rPr>
          <w:rFonts w:cs="Arial"/>
          <w:sz w:val="16"/>
          <w:szCs w:val="16"/>
        </w:rPr>
        <w:t>aseguradora</w:t>
      </w:r>
      <w:r w:rsidRPr="008270B7">
        <w:rPr>
          <w:rFonts w:cs="Arial"/>
          <w:sz w:val="16"/>
          <w:szCs w:val="16"/>
        </w:rPr>
        <w:t xml:space="preserve"> líder, fecha del siniestro, amparos afectados,  porcentaje de participación líder, porcentaje de participación coaseguro, valor de la reserva periodo anterior, ajustes de reserva mes actual, número de orden de pago o recibo de caja, valor pagado siniestro, valor pagado gastos siniestro, salvamentos, recobros, reintegros y reserva fin del periodo, entendiéndose que estos valores s</w:t>
      </w:r>
      <w:r w:rsidR="009C073E" w:rsidRPr="008270B7">
        <w:rPr>
          <w:rFonts w:cs="Arial"/>
          <w:sz w:val="16"/>
          <w:szCs w:val="16"/>
        </w:rPr>
        <w:t>o</w:t>
      </w:r>
      <w:r w:rsidRPr="008270B7">
        <w:rPr>
          <w:rFonts w:cs="Arial"/>
          <w:sz w:val="16"/>
          <w:szCs w:val="16"/>
        </w:rPr>
        <w:t xml:space="preserve">n los que correspondan al coasegurador aceptante. Para los ramos de autos y vida se requiere incluir en este informe el número de identificación correspondiente. </w:t>
      </w:r>
    </w:p>
    <w:p w14:paraId="22BF59B5" w14:textId="77777777" w:rsidR="00B10D26" w:rsidRPr="008270B7" w:rsidRDefault="00B10D26" w:rsidP="008270B7">
      <w:pPr>
        <w:tabs>
          <w:tab w:val="left" w:pos="720"/>
        </w:tabs>
        <w:jc w:val="both"/>
        <w:rPr>
          <w:rFonts w:cs="Arial"/>
          <w:sz w:val="16"/>
          <w:szCs w:val="16"/>
        </w:rPr>
      </w:pPr>
    </w:p>
    <w:p w14:paraId="21E14501" w14:textId="4A534F32" w:rsidR="00B10D26" w:rsidRPr="008270B7" w:rsidRDefault="00B10D26" w:rsidP="008270B7">
      <w:pPr>
        <w:tabs>
          <w:tab w:val="left" w:pos="720"/>
        </w:tabs>
        <w:jc w:val="both"/>
        <w:rPr>
          <w:rFonts w:cs="Arial"/>
          <w:sz w:val="16"/>
          <w:szCs w:val="16"/>
        </w:rPr>
      </w:pPr>
      <w:r w:rsidRPr="008270B7">
        <w:rPr>
          <w:rFonts w:cs="Arial"/>
          <w:sz w:val="16"/>
          <w:szCs w:val="16"/>
        </w:rPr>
        <w:t xml:space="preserve">1.3.3.4. Informe </w:t>
      </w:r>
      <w:r w:rsidR="008270B7" w:rsidRPr="008270B7">
        <w:rPr>
          <w:rFonts w:cs="Arial"/>
          <w:sz w:val="16"/>
          <w:szCs w:val="16"/>
        </w:rPr>
        <w:t>cuatro -</w:t>
      </w:r>
      <w:r w:rsidRPr="008270B7">
        <w:rPr>
          <w:rFonts w:cs="Arial"/>
          <w:sz w:val="16"/>
          <w:szCs w:val="16"/>
        </w:rPr>
        <w:t xml:space="preserve"> Listados de primas emitidas: Debe contener la siguiente información: Sucursal, tomador, ramo, póliza, certificado, periodo de vigencia, participación, primas, intermediario, porcentaje de participación intermediario, valor asegurado, el porcentaje y valor de los gastos de administración, el porcentaje y valor de la comisión.</w:t>
      </w:r>
    </w:p>
    <w:p w14:paraId="5A20FF71" w14:textId="77777777" w:rsidR="00B10D26" w:rsidRPr="008270B7" w:rsidRDefault="00B10D26" w:rsidP="008270B7">
      <w:pPr>
        <w:tabs>
          <w:tab w:val="left" w:pos="720"/>
        </w:tabs>
        <w:jc w:val="both"/>
        <w:rPr>
          <w:rFonts w:cs="Arial"/>
          <w:sz w:val="16"/>
          <w:szCs w:val="16"/>
        </w:rPr>
      </w:pPr>
    </w:p>
    <w:p w14:paraId="3EF48837" w14:textId="77777777" w:rsidR="00B10D26" w:rsidRPr="008270B7" w:rsidRDefault="00B10D26" w:rsidP="008270B7">
      <w:pPr>
        <w:tabs>
          <w:tab w:val="left" w:pos="720"/>
        </w:tabs>
        <w:jc w:val="both"/>
        <w:rPr>
          <w:rFonts w:cs="Arial"/>
          <w:sz w:val="16"/>
          <w:szCs w:val="16"/>
        </w:rPr>
      </w:pPr>
      <w:r w:rsidRPr="008270B7">
        <w:rPr>
          <w:rFonts w:cs="Arial"/>
          <w:sz w:val="16"/>
          <w:szCs w:val="16"/>
        </w:rPr>
        <w:t>1.3.3.5. Informe cinco - Listado de primas anuladas: Debe incluir la siguiente información: sucursal, tomador, ramo, póliza, certificado y valor.</w:t>
      </w:r>
    </w:p>
    <w:p w14:paraId="461A6A9D" w14:textId="77777777" w:rsidR="00B10D26" w:rsidRPr="008270B7" w:rsidRDefault="00B10D26" w:rsidP="008270B7">
      <w:pPr>
        <w:tabs>
          <w:tab w:val="left" w:pos="720"/>
        </w:tabs>
        <w:jc w:val="both"/>
        <w:rPr>
          <w:rFonts w:cs="Arial"/>
          <w:sz w:val="16"/>
          <w:szCs w:val="16"/>
        </w:rPr>
      </w:pPr>
    </w:p>
    <w:p w14:paraId="7E78F18E" w14:textId="77777777" w:rsidR="00B10D26" w:rsidRPr="008270B7" w:rsidRDefault="00B10D26" w:rsidP="008270B7">
      <w:pPr>
        <w:tabs>
          <w:tab w:val="left" w:pos="720"/>
        </w:tabs>
        <w:jc w:val="both"/>
        <w:rPr>
          <w:rFonts w:cs="Arial"/>
          <w:sz w:val="16"/>
          <w:szCs w:val="16"/>
        </w:rPr>
      </w:pPr>
      <w:r w:rsidRPr="008270B7">
        <w:rPr>
          <w:rFonts w:cs="Arial"/>
          <w:sz w:val="16"/>
          <w:szCs w:val="16"/>
        </w:rPr>
        <w:t>1.3.3.6. Informe seis - Listado de primas pendientes: Debe contener la siguiente información: sucursal, tomador, ramo, póliza, certificado, periodo de vigencia, participación, primas, abonos y saldos.</w:t>
      </w:r>
    </w:p>
    <w:p w14:paraId="00D7E3B4" w14:textId="77777777" w:rsidR="00B10D26" w:rsidRPr="008270B7" w:rsidRDefault="00B10D26" w:rsidP="008270B7">
      <w:pPr>
        <w:tabs>
          <w:tab w:val="left" w:pos="720"/>
        </w:tabs>
        <w:jc w:val="both"/>
        <w:rPr>
          <w:rFonts w:cs="Arial"/>
          <w:sz w:val="16"/>
          <w:szCs w:val="16"/>
        </w:rPr>
      </w:pPr>
    </w:p>
    <w:p w14:paraId="75472177"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 xml:space="preserve">Los códigos asignados a las </w:t>
      </w:r>
      <w:r w:rsidR="0095003A" w:rsidRPr="008270B7">
        <w:rPr>
          <w:rFonts w:cs="Arial"/>
          <w:sz w:val="16"/>
          <w:szCs w:val="16"/>
          <w:lang w:val="es-ES"/>
        </w:rPr>
        <w:t>entidades aseguradoras</w:t>
      </w:r>
      <w:r w:rsidRPr="008270B7">
        <w:rPr>
          <w:rFonts w:cs="Arial"/>
          <w:sz w:val="16"/>
          <w:szCs w:val="16"/>
          <w:lang w:val="es-ES"/>
        </w:rPr>
        <w:t xml:space="preserve"> para el diligenciamiento de estos informes es el señalado por la SFC mediante el subsistema de trámites.</w:t>
      </w:r>
    </w:p>
    <w:p w14:paraId="44DBD176" w14:textId="77777777" w:rsidR="00B10D26" w:rsidRPr="008270B7" w:rsidRDefault="00B10D26" w:rsidP="008270B7">
      <w:pPr>
        <w:tabs>
          <w:tab w:val="left" w:pos="720"/>
        </w:tabs>
        <w:jc w:val="both"/>
        <w:rPr>
          <w:rFonts w:cs="Arial"/>
          <w:sz w:val="16"/>
          <w:szCs w:val="16"/>
        </w:rPr>
      </w:pPr>
    </w:p>
    <w:p w14:paraId="3FFF6B37"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Para los ramos de seguros se deben utilizar los códigos establecidos en el </w:t>
      </w:r>
      <w:proofErr w:type="spellStart"/>
      <w:r w:rsidRPr="008270B7">
        <w:rPr>
          <w:rFonts w:cs="Arial"/>
          <w:sz w:val="16"/>
          <w:szCs w:val="16"/>
        </w:rPr>
        <w:t>subnumeral</w:t>
      </w:r>
      <w:proofErr w:type="spellEnd"/>
      <w:r w:rsidRPr="008270B7">
        <w:rPr>
          <w:rFonts w:cs="Arial"/>
          <w:sz w:val="16"/>
          <w:szCs w:val="16"/>
        </w:rPr>
        <w:t xml:space="preserve"> 1.1 del presente </w:t>
      </w:r>
      <w:r w:rsidR="0095003A" w:rsidRPr="008270B7">
        <w:rPr>
          <w:rFonts w:cs="Arial"/>
          <w:sz w:val="16"/>
          <w:szCs w:val="16"/>
        </w:rPr>
        <w:t>C</w:t>
      </w:r>
      <w:r w:rsidRPr="008270B7">
        <w:rPr>
          <w:rFonts w:cs="Arial"/>
          <w:sz w:val="16"/>
          <w:szCs w:val="16"/>
        </w:rPr>
        <w:t>apítulo.</w:t>
      </w:r>
    </w:p>
    <w:p w14:paraId="44C10488" w14:textId="77777777" w:rsidR="00B10D26" w:rsidRPr="008270B7" w:rsidRDefault="00B10D26" w:rsidP="008270B7">
      <w:pPr>
        <w:tabs>
          <w:tab w:val="left" w:pos="720"/>
          <w:tab w:val="left" w:pos="1064"/>
          <w:tab w:val="left" w:pos="2057"/>
        </w:tabs>
        <w:ind w:right="356"/>
        <w:jc w:val="both"/>
        <w:rPr>
          <w:rFonts w:cs="Arial"/>
          <w:sz w:val="16"/>
          <w:szCs w:val="16"/>
        </w:rPr>
      </w:pPr>
    </w:p>
    <w:p w14:paraId="3BD7B04B" w14:textId="77777777" w:rsidR="00B10D26" w:rsidRPr="008270B7" w:rsidRDefault="00B10D26" w:rsidP="008270B7">
      <w:pPr>
        <w:tabs>
          <w:tab w:val="left" w:pos="720"/>
          <w:tab w:val="left" w:pos="1064"/>
          <w:tab w:val="left" w:pos="2057"/>
        </w:tabs>
        <w:ind w:right="356"/>
        <w:jc w:val="both"/>
        <w:rPr>
          <w:rFonts w:cs="Arial"/>
          <w:sz w:val="16"/>
          <w:szCs w:val="16"/>
        </w:rPr>
      </w:pPr>
      <w:r w:rsidRPr="008270B7">
        <w:rPr>
          <w:rFonts w:cs="Arial"/>
          <w:sz w:val="16"/>
          <w:szCs w:val="16"/>
        </w:rPr>
        <w:t xml:space="preserve">1.3.4. Indemnizaciones </w:t>
      </w:r>
    </w:p>
    <w:p w14:paraId="5C9313BF" w14:textId="77777777" w:rsidR="00B10D26" w:rsidRPr="008270B7" w:rsidRDefault="00B10D26" w:rsidP="008270B7">
      <w:pPr>
        <w:tabs>
          <w:tab w:val="left" w:pos="720"/>
          <w:tab w:val="left" w:pos="1064"/>
          <w:tab w:val="left" w:pos="2057"/>
        </w:tabs>
        <w:ind w:right="356"/>
        <w:jc w:val="both"/>
        <w:rPr>
          <w:rFonts w:cs="Arial"/>
          <w:sz w:val="16"/>
          <w:szCs w:val="16"/>
        </w:rPr>
      </w:pPr>
    </w:p>
    <w:p w14:paraId="116972D0" w14:textId="77777777" w:rsidR="00B10D26" w:rsidRPr="008270B7" w:rsidRDefault="00B10D26" w:rsidP="008270B7">
      <w:pPr>
        <w:tabs>
          <w:tab w:val="left" w:pos="720"/>
          <w:tab w:val="left" w:pos="1064"/>
          <w:tab w:val="left" w:pos="2057"/>
          <w:tab w:val="left" w:pos="9639"/>
        </w:tabs>
        <w:ind w:right="51"/>
        <w:jc w:val="both"/>
        <w:rPr>
          <w:rFonts w:cs="Arial"/>
          <w:sz w:val="16"/>
          <w:szCs w:val="16"/>
        </w:rPr>
      </w:pPr>
      <w:r w:rsidRPr="008270B7">
        <w:rPr>
          <w:rFonts w:cs="Arial"/>
          <w:sz w:val="16"/>
          <w:szCs w:val="16"/>
        </w:rPr>
        <w:t>La líder debe atender en un plazo máximo de 5 días hábiles el requerimiento de envío de soportes de siniestros cuando estos lo ameriten.</w:t>
      </w:r>
    </w:p>
    <w:p w14:paraId="156642AC" w14:textId="77777777" w:rsidR="00B10D26" w:rsidRPr="008270B7" w:rsidRDefault="00B10D26" w:rsidP="008270B7">
      <w:pPr>
        <w:tabs>
          <w:tab w:val="left" w:pos="720"/>
          <w:tab w:val="left" w:pos="1064"/>
          <w:tab w:val="left" w:pos="2057"/>
        </w:tabs>
        <w:ind w:right="356"/>
        <w:jc w:val="both"/>
        <w:rPr>
          <w:rFonts w:cs="Arial"/>
          <w:sz w:val="16"/>
          <w:szCs w:val="16"/>
        </w:rPr>
      </w:pPr>
    </w:p>
    <w:p w14:paraId="0F18814D" w14:textId="77777777" w:rsidR="00B10D26" w:rsidRPr="008270B7" w:rsidRDefault="00B10D26" w:rsidP="008270B7">
      <w:pPr>
        <w:pStyle w:val="Ttulo2"/>
        <w:jc w:val="both"/>
        <w:rPr>
          <w:b w:val="0"/>
          <w:bCs w:val="0"/>
          <w:szCs w:val="16"/>
        </w:rPr>
      </w:pPr>
      <w:bookmarkStart w:id="2" w:name="_Toc269950157"/>
      <w:r w:rsidRPr="008270B7">
        <w:rPr>
          <w:b w:val="0"/>
          <w:bCs w:val="0"/>
          <w:szCs w:val="16"/>
        </w:rPr>
        <w:t>1.4. Comisiones para el intermediario de seguros</w:t>
      </w:r>
      <w:bookmarkEnd w:id="2"/>
    </w:p>
    <w:p w14:paraId="3A251F05" w14:textId="77777777" w:rsidR="00B10D26" w:rsidRPr="008270B7" w:rsidRDefault="00B10D26" w:rsidP="008270B7">
      <w:pPr>
        <w:tabs>
          <w:tab w:val="left" w:pos="720"/>
        </w:tabs>
        <w:jc w:val="both"/>
        <w:rPr>
          <w:rFonts w:cs="Arial"/>
          <w:sz w:val="16"/>
          <w:szCs w:val="16"/>
        </w:rPr>
      </w:pPr>
    </w:p>
    <w:p w14:paraId="3D23D790" w14:textId="77777777" w:rsidR="00B10D26" w:rsidRPr="008270B7" w:rsidRDefault="00B10D26" w:rsidP="008270B7">
      <w:pPr>
        <w:tabs>
          <w:tab w:val="left" w:pos="720"/>
        </w:tabs>
        <w:jc w:val="both"/>
        <w:rPr>
          <w:rFonts w:cs="Arial"/>
          <w:sz w:val="16"/>
          <w:szCs w:val="16"/>
        </w:rPr>
      </w:pPr>
      <w:r w:rsidRPr="008270B7">
        <w:rPr>
          <w:rFonts w:cs="Arial"/>
          <w:sz w:val="16"/>
          <w:szCs w:val="16"/>
        </w:rPr>
        <w:t>La expedición de un seguro en moneda extranjera no implica una operación de cambio respecto de la comisión que eventualmente se genere a favor del intermediario de seguros. Por tal motivo, no resulta procedente que dichas comisiones se paguen en moneda extranjera.</w:t>
      </w:r>
    </w:p>
    <w:p w14:paraId="23117380" w14:textId="77777777" w:rsidR="00B10D26" w:rsidRPr="008270B7" w:rsidRDefault="00B10D26" w:rsidP="008270B7">
      <w:pPr>
        <w:tabs>
          <w:tab w:val="left" w:pos="720"/>
          <w:tab w:val="left" w:pos="1064"/>
          <w:tab w:val="left" w:pos="2057"/>
        </w:tabs>
        <w:ind w:right="356"/>
        <w:jc w:val="both"/>
        <w:rPr>
          <w:rFonts w:cs="Arial"/>
          <w:sz w:val="16"/>
          <w:szCs w:val="16"/>
        </w:rPr>
      </w:pPr>
    </w:p>
    <w:p w14:paraId="6F88B436" w14:textId="77777777" w:rsidR="00B10D26" w:rsidRPr="008270B7" w:rsidRDefault="00B10D26" w:rsidP="008270B7">
      <w:pPr>
        <w:pStyle w:val="Ttulo2"/>
        <w:jc w:val="both"/>
        <w:rPr>
          <w:b w:val="0"/>
          <w:bCs w:val="0"/>
          <w:szCs w:val="16"/>
        </w:rPr>
      </w:pPr>
      <w:bookmarkStart w:id="3" w:name="_Toc269950158"/>
      <w:r w:rsidRPr="008270B7">
        <w:rPr>
          <w:b w:val="0"/>
          <w:bCs w:val="0"/>
          <w:szCs w:val="16"/>
        </w:rPr>
        <w:t>1.5. Financiación de primas</w:t>
      </w:r>
      <w:bookmarkEnd w:id="3"/>
    </w:p>
    <w:p w14:paraId="6A767D17" w14:textId="77777777" w:rsidR="00B10D26" w:rsidRPr="008270B7" w:rsidRDefault="00B10D26" w:rsidP="008270B7">
      <w:pPr>
        <w:tabs>
          <w:tab w:val="left" w:pos="720"/>
        </w:tabs>
        <w:jc w:val="both"/>
        <w:rPr>
          <w:rFonts w:cs="Arial"/>
          <w:sz w:val="16"/>
          <w:szCs w:val="16"/>
        </w:rPr>
      </w:pPr>
    </w:p>
    <w:p w14:paraId="5EA9D6C3" w14:textId="77777777" w:rsidR="00B10D26" w:rsidRPr="008270B7" w:rsidRDefault="00B10D26" w:rsidP="008270B7">
      <w:pPr>
        <w:pStyle w:val="Textoindependiente21"/>
        <w:tabs>
          <w:tab w:val="clear" w:pos="851"/>
          <w:tab w:val="left" w:pos="-1276"/>
          <w:tab w:val="left" w:pos="0"/>
          <w:tab w:val="left" w:pos="720"/>
        </w:tabs>
        <w:rPr>
          <w:rFonts w:cs="Arial"/>
          <w:sz w:val="16"/>
          <w:szCs w:val="16"/>
        </w:rPr>
      </w:pPr>
      <w:r w:rsidRPr="008270B7">
        <w:rPr>
          <w:rFonts w:cs="Arial"/>
          <w:sz w:val="16"/>
          <w:szCs w:val="16"/>
        </w:rPr>
        <w:t xml:space="preserve">1.5.1. Requisitos </w:t>
      </w:r>
    </w:p>
    <w:p w14:paraId="34A0D6E6" w14:textId="77777777" w:rsidR="00B10D26" w:rsidRPr="008270B7" w:rsidRDefault="00B10D26" w:rsidP="008270B7">
      <w:pPr>
        <w:tabs>
          <w:tab w:val="left" w:pos="-1276"/>
          <w:tab w:val="left" w:pos="720"/>
        </w:tabs>
        <w:jc w:val="both"/>
        <w:rPr>
          <w:rFonts w:cs="Arial"/>
          <w:sz w:val="16"/>
          <w:szCs w:val="16"/>
        </w:rPr>
      </w:pPr>
    </w:p>
    <w:p w14:paraId="19610A27" w14:textId="77777777" w:rsidR="00B10D26" w:rsidRPr="008270B7" w:rsidRDefault="00B10D26" w:rsidP="008270B7">
      <w:pPr>
        <w:tabs>
          <w:tab w:val="left" w:pos="-1276"/>
          <w:tab w:val="left" w:pos="720"/>
        </w:tabs>
        <w:jc w:val="both"/>
        <w:rPr>
          <w:rFonts w:cs="Arial"/>
          <w:sz w:val="16"/>
          <w:szCs w:val="16"/>
        </w:rPr>
      </w:pPr>
      <w:r w:rsidRPr="008270B7">
        <w:rPr>
          <w:rFonts w:cs="Arial"/>
          <w:sz w:val="16"/>
          <w:szCs w:val="16"/>
        </w:rPr>
        <w:t>Las entidades aseguradoras pueden financiar el pago de las primas de los contratos de seguros que expiden, con sujeción a las siguientes condiciones:</w:t>
      </w:r>
    </w:p>
    <w:p w14:paraId="3ACF306B" w14:textId="77777777" w:rsidR="00B10D26" w:rsidRPr="008270B7" w:rsidRDefault="00B10D26" w:rsidP="008270B7">
      <w:pPr>
        <w:tabs>
          <w:tab w:val="left" w:pos="-1276"/>
          <w:tab w:val="left" w:pos="720"/>
        </w:tabs>
        <w:jc w:val="both"/>
        <w:rPr>
          <w:rFonts w:cs="Arial"/>
          <w:sz w:val="16"/>
          <w:szCs w:val="16"/>
        </w:rPr>
      </w:pPr>
    </w:p>
    <w:p w14:paraId="4A363A64" w14:textId="77777777" w:rsidR="002D6E00" w:rsidRPr="008270B7" w:rsidRDefault="00B10D26" w:rsidP="008270B7">
      <w:pPr>
        <w:tabs>
          <w:tab w:val="left" w:pos="-1276"/>
          <w:tab w:val="left" w:pos="720"/>
        </w:tabs>
        <w:jc w:val="both"/>
        <w:rPr>
          <w:rFonts w:cs="Arial"/>
          <w:sz w:val="16"/>
          <w:szCs w:val="16"/>
        </w:rPr>
      </w:pPr>
      <w:r w:rsidRPr="008270B7">
        <w:rPr>
          <w:rFonts w:cs="Arial"/>
          <w:sz w:val="16"/>
          <w:szCs w:val="16"/>
        </w:rPr>
        <w:t xml:space="preserve">1.5.1.1. La financiación no puede exceder el 70% del valor total de la prima a cargo del tomador, ni de los límites individuales previstos para efectos de cupos individuales de crédito de que trata el art. 2.1.2.1.1 y siguientes del Decreto 2555 de 2010. </w:t>
      </w:r>
    </w:p>
    <w:p w14:paraId="644DC37B" w14:textId="1EC6C312" w:rsidR="002D6E00" w:rsidRPr="008270B7" w:rsidRDefault="002D6E00" w:rsidP="008270B7">
      <w:pPr>
        <w:tabs>
          <w:tab w:val="left" w:pos="-1276"/>
          <w:tab w:val="left" w:pos="720"/>
        </w:tabs>
        <w:jc w:val="both"/>
        <w:rPr>
          <w:rFonts w:cs="Arial"/>
          <w:sz w:val="16"/>
          <w:szCs w:val="16"/>
        </w:rPr>
        <w:sectPr w:rsidR="002D6E00" w:rsidRPr="008270B7" w:rsidSect="003D3E9A">
          <w:footerReference w:type="default" r:id="rId28"/>
          <w:headerReference w:type="first" r:id="rId29"/>
          <w:footerReference w:type="first" r:id="rId30"/>
          <w:pgSz w:w="12240" w:h="18720" w:code="257"/>
          <w:pgMar w:top="1417" w:right="1701" w:bottom="1417" w:left="1701" w:header="709" w:footer="865" w:gutter="0"/>
          <w:pgNumType w:start="5"/>
          <w:cols w:space="708"/>
          <w:titlePg/>
          <w:docGrid w:linePitch="360"/>
        </w:sectPr>
      </w:pPr>
    </w:p>
    <w:p w14:paraId="04F9F0D0" w14:textId="77777777" w:rsidR="002D6E00" w:rsidRPr="008270B7" w:rsidRDefault="002D6E00" w:rsidP="008270B7">
      <w:pPr>
        <w:tabs>
          <w:tab w:val="left" w:pos="-1418"/>
          <w:tab w:val="left" w:pos="720"/>
        </w:tabs>
        <w:jc w:val="both"/>
        <w:rPr>
          <w:rFonts w:cs="Arial"/>
          <w:sz w:val="16"/>
          <w:szCs w:val="16"/>
        </w:rPr>
      </w:pPr>
      <w:r w:rsidRPr="008270B7">
        <w:rPr>
          <w:rFonts w:cs="Arial"/>
          <w:sz w:val="16"/>
          <w:szCs w:val="16"/>
        </w:rPr>
        <w:lastRenderedPageBreak/>
        <w:t>1.5.1.2. El plazo máximo de la financiación no puede ser superior al período de vigencia del seguro y, en todo caso, no debe exceder de 1 año contado desde la expedición de la póliza.</w:t>
      </w:r>
    </w:p>
    <w:p w14:paraId="03981902" w14:textId="77777777" w:rsidR="002D6E00" w:rsidRPr="008270B7" w:rsidRDefault="002D6E00" w:rsidP="008270B7">
      <w:pPr>
        <w:tabs>
          <w:tab w:val="left" w:pos="-993"/>
          <w:tab w:val="left" w:pos="720"/>
        </w:tabs>
        <w:jc w:val="both"/>
        <w:rPr>
          <w:rFonts w:cs="Arial"/>
          <w:sz w:val="16"/>
          <w:szCs w:val="16"/>
        </w:rPr>
      </w:pPr>
    </w:p>
    <w:p w14:paraId="7D04131A" w14:textId="77777777" w:rsidR="002D6E00" w:rsidRPr="008270B7" w:rsidRDefault="002D6E00" w:rsidP="008270B7">
      <w:pPr>
        <w:tabs>
          <w:tab w:val="left" w:pos="-993"/>
          <w:tab w:val="left" w:pos="720"/>
        </w:tabs>
        <w:jc w:val="both"/>
        <w:rPr>
          <w:rFonts w:cs="Arial"/>
          <w:sz w:val="16"/>
          <w:szCs w:val="16"/>
        </w:rPr>
      </w:pPr>
      <w:r w:rsidRPr="008270B7">
        <w:rPr>
          <w:rFonts w:cs="Arial"/>
          <w:sz w:val="16"/>
          <w:szCs w:val="16"/>
        </w:rPr>
        <w:t xml:space="preserve">1.5.1.3. El importe de la parte no financiada de la </w:t>
      </w:r>
      <w:proofErr w:type="gramStart"/>
      <w:r w:rsidRPr="008270B7">
        <w:rPr>
          <w:rFonts w:cs="Arial"/>
          <w:sz w:val="16"/>
          <w:szCs w:val="16"/>
        </w:rPr>
        <w:t>prima,</w:t>
      </w:r>
      <w:proofErr w:type="gramEnd"/>
      <w:r w:rsidRPr="008270B7">
        <w:rPr>
          <w:rFonts w:cs="Arial"/>
          <w:sz w:val="16"/>
          <w:szCs w:val="16"/>
        </w:rPr>
        <w:t xml:space="preserve"> debe ser cubierto por el tomador a más tardar dentro del mes siguiente, contado a partir de la entrega de la póliza, certificados o anexos que se expidan con fundamento en ella, según el caso.</w:t>
      </w:r>
    </w:p>
    <w:p w14:paraId="205DC130" w14:textId="77777777" w:rsidR="002D6E00" w:rsidRPr="008270B7" w:rsidRDefault="002D6E00" w:rsidP="008270B7">
      <w:pPr>
        <w:pStyle w:val="Textoindependiente21"/>
        <w:tabs>
          <w:tab w:val="clear" w:pos="851"/>
          <w:tab w:val="left" w:pos="-2268"/>
          <w:tab w:val="left" w:pos="720"/>
        </w:tabs>
        <w:rPr>
          <w:rFonts w:cs="Arial"/>
          <w:sz w:val="16"/>
          <w:szCs w:val="16"/>
          <w:lang w:val="es-ES"/>
        </w:rPr>
      </w:pPr>
    </w:p>
    <w:p w14:paraId="441D5875" w14:textId="77777777" w:rsidR="008270B7" w:rsidRPr="00CC7900" w:rsidRDefault="008270B7" w:rsidP="008270B7">
      <w:pPr>
        <w:pBdr>
          <w:left w:val="single" w:sz="4" w:space="4" w:color="auto"/>
        </w:pBdr>
        <w:shd w:val="clear" w:color="auto" w:fill="FFFFFF"/>
        <w:jc w:val="both"/>
        <w:rPr>
          <w:rFonts w:cs="Arial"/>
          <w:sz w:val="16"/>
          <w:szCs w:val="16"/>
        </w:rPr>
      </w:pPr>
      <w:r w:rsidRPr="00CC7900">
        <w:rPr>
          <w:rFonts w:cs="Arial"/>
          <w:b/>
          <w:bCs/>
          <w:sz w:val="16"/>
          <w:szCs w:val="16"/>
        </w:rPr>
        <w:t>1.5.1.4</w:t>
      </w:r>
      <w:r w:rsidRPr="008270B7">
        <w:rPr>
          <w:rFonts w:cs="Arial"/>
          <w:b/>
          <w:bCs/>
          <w:sz w:val="16"/>
          <w:szCs w:val="16"/>
        </w:rPr>
        <w:t>. Los recursos con los cuales se financie el pago de primas deben provenir de los recursos propios de la entidad, y por lo tanto no pueden afectar el valor de las reservas técnicas.</w:t>
      </w:r>
    </w:p>
    <w:p w14:paraId="055B3FAF" w14:textId="77777777" w:rsidR="002D6E00" w:rsidRPr="008270B7" w:rsidRDefault="002D6E00" w:rsidP="008270B7">
      <w:pPr>
        <w:tabs>
          <w:tab w:val="left" w:pos="-2268"/>
          <w:tab w:val="left" w:pos="720"/>
        </w:tabs>
        <w:jc w:val="both"/>
        <w:rPr>
          <w:rFonts w:cs="Arial"/>
          <w:sz w:val="16"/>
          <w:szCs w:val="16"/>
        </w:rPr>
      </w:pPr>
    </w:p>
    <w:p w14:paraId="18A6CF9A" w14:textId="77777777" w:rsidR="002D6E00" w:rsidRPr="008270B7" w:rsidRDefault="002D6E00" w:rsidP="008270B7">
      <w:pPr>
        <w:tabs>
          <w:tab w:val="left" w:pos="-2268"/>
          <w:tab w:val="left" w:pos="720"/>
        </w:tabs>
        <w:jc w:val="both"/>
        <w:rPr>
          <w:rFonts w:cs="Arial"/>
          <w:sz w:val="16"/>
          <w:szCs w:val="16"/>
        </w:rPr>
      </w:pPr>
      <w:r w:rsidRPr="008270B7">
        <w:rPr>
          <w:rFonts w:cs="Arial"/>
          <w:sz w:val="16"/>
          <w:szCs w:val="16"/>
        </w:rPr>
        <w:t>Para que el valor de las primas a financiar se pueda entender como recaudado para todos los efectos, la obligación debe ser incorporada en pagarés o cualquier otro título valor de contenido crediticio emitido por el tomador a la orden del asegurador, excepto cuando se trate del fraccionamiento de la prima, cuyos términos deben consignarse en la póliza.</w:t>
      </w:r>
    </w:p>
    <w:p w14:paraId="5277152B" w14:textId="77777777" w:rsidR="002D6E00" w:rsidRPr="008270B7" w:rsidRDefault="002D6E00" w:rsidP="008270B7">
      <w:pPr>
        <w:pStyle w:val="Piedepgina"/>
        <w:pBdr>
          <w:left w:val="single" w:sz="4" w:space="1" w:color="auto"/>
        </w:pBdr>
        <w:tabs>
          <w:tab w:val="clear" w:pos="8504"/>
          <w:tab w:val="left" w:pos="720"/>
          <w:tab w:val="right" w:pos="8789"/>
        </w:tabs>
        <w:jc w:val="both"/>
        <w:rPr>
          <w:rFonts w:cs="Arial"/>
          <w:sz w:val="16"/>
          <w:szCs w:val="16"/>
          <w:lang w:val="es-ES"/>
        </w:rPr>
      </w:pPr>
    </w:p>
    <w:p w14:paraId="26E692A4" w14:textId="77777777" w:rsidR="002D6E00" w:rsidRDefault="002D6E00" w:rsidP="008270B7">
      <w:pPr>
        <w:pBdr>
          <w:left w:val="single" w:sz="4" w:space="1" w:color="auto"/>
        </w:pBdr>
        <w:tabs>
          <w:tab w:val="left" w:pos="720"/>
        </w:tabs>
        <w:jc w:val="both"/>
        <w:rPr>
          <w:rFonts w:cs="Arial"/>
          <w:sz w:val="16"/>
          <w:szCs w:val="16"/>
        </w:rPr>
      </w:pPr>
    </w:p>
    <w:p w14:paraId="07736420" w14:textId="77777777" w:rsidR="008270B7" w:rsidRDefault="008270B7" w:rsidP="008270B7">
      <w:pPr>
        <w:pBdr>
          <w:left w:val="single" w:sz="4" w:space="1" w:color="auto"/>
        </w:pBdr>
        <w:tabs>
          <w:tab w:val="left" w:pos="720"/>
        </w:tabs>
        <w:jc w:val="both"/>
        <w:rPr>
          <w:rFonts w:cs="Arial"/>
          <w:sz w:val="16"/>
          <w:szCs w:val="16"/>
        </w:rPr>
      </w:pPr>
    </w:p>
    <w:p w14:paraId="31D5858C" w14:textId="77777777" w:rsidR="008270B7" w:rsidRPr="008270B7" w:rsidRDefault="008270B7" w:rsidP="008270B7">
      <w:pPr>
        <w:pBdr>
          <w:left w:val="single" w:sz="4" w:space="1" w:color="auto"/>
        </w:pBdr>
        <w:tabs>
          <w:tab w:val="left" w:pos="720"/>
        </w:tabs>
        <w:jc w:val="both"/>
        <w:rPr>
          <w:rFonts w:cs="Arial"/>
          <w:sz w:val="16"/>
          <w:szCs w:val="16"/>
        </w:rPr>
      </w:pPr>
    </w:p>
    <w:p w14:paraId="4B41D82C" w14:textId="77777777" w:rsidR="002D6E00" w:rsidRDefault="002D6E00" w:rsidP="008270B7">
      <w:pPr>
        <w:pBdr>
          <w:left w:val="single" w:sz="4" w:space="1" w:color="auto"/>
        </w:pBdr>
        <w:tabs>
          <w:tab w:val="left" w:pos="720"/>
        </w:tabs>
        <w:jc w:val="both"/>
        <w:rPr>
          <w:rFonts w:cs="Arial"/>
          <w:sz w:val="16"/>
          <w:szCs w:val="16"/>
        </w:rPr>
      </w:pPr>
    </w:p>
    <w:p w14:paraId="0B1B2899" w14:textId="77777777" w:rsidR="008270B7" w:rsidRDefault="008270B7" w:rsidP="008270B7">
      <w:pPr>
        <w:pBdr>
          <w:left w:val="single" w:sz="4" w:space="1" w:color="auto"/>
        </w:pBdr>
        <w:tabs>
          <w:tab w:val="left" w:pos="720"/>
        </w:tabs>
        <w:jc w:val="both"/>
        <w:rPr>
          <w:rFonts w:cs="Arial"/>
          <w:sz w:val="16"/>
          <w:szCs w:val="16"/>
        </w:rPr>
      </w:pPr>
    </w:p>
    <w:p w14:paraId="5DEC142E" w14:textId="77777777" w:rsidR="008270B7" w:rsidRDefault="008270B7" w:rsidP="008270B7">
      <w:pPr>
        <w:pBdr>
          <w:left w:val="single" w:sz="4" w:space="1" w:color="auto"/>
        </w:pBdr>
        <w:tabs>
          <w:tab w:val="left" w:pos="720"/>
        </w:tabs>
        <w:jc w:val="both"/>
        <w:rPr>
          <w:rFonts w:cs="Arial"/>
          <w:sz w:val="16"/>
          <w:szCs w:val="16"/>
        </w:rPr>
      </w:pPr>
    </w:p>
    <w:p w14:paraId="56CC73EF" w14:textId="77777777" w:rsidR="008270B7" w:rsidRDefault="008270B7" w:rsidP="008270B7">
      <w:pPr>
        <w:pBdr>
          <w:left w:val="single" w:sz="4" w:space="1" w:color="auto"/>
        </w:pBdr>
        <w:tabs>
          <w:tab w:val="left" w:pos="720"/>
        </w:tabs>
        <w:jc w:val="both"/>
        <w:rPr>
          <w:rFonts w:cs="Arial"/>
          <w:sz w:val="16"/>
          <w:szCs w:val="16"/>
        </w:rPr>
      </w:pPr>
    </w:p>
    <w:p w14:paraId="1AF5E77E" w14:textId="77777777" w:rsidR="008270B7" w:rsidRDefault="008270B7" w:rsidP="008270B7">
      <w:pPr>
        <w:pBdr>
          <w:left w:val="single" w:sz="4" w:space="1" w:color="auto"/>
        </w:pBdr>
        <w:tabs>
          <w:tab w:val="left" w:pos="720"/>
        </w:tabs>
        <w:jc w:val="both"/>
        <w:rPr>
          <w:rFonts w:cs="Arial"/>
          <w:sz w:val="16"/>
          <w:szCs w:val="16"/>
        </w:rPr>
      </w:pPr>
    </w:p>
    <w:p w14:paraId="34D22E5B" w14:textId="77777777" w:rsidR="008270B7" w:rsidRPr="008270B7" w:rsidRDefault="008270B7" w:rsidP="008270B7">
      <w:pPr>
        <w:tabs>
          <w:tab w:val="left" w:pos="720"/>
        </w:tabs>
        <w:jc w:val="both"/>
        <w:rPr>
          <w:rFonts w:cs="Arial"/>
          <w:sz w:val="16"/>
          <w:szCs w:val="16"/>
        </w:rPr>
      </w:pPr>
    </w:p>
    <w:p w14:paraId="380EE122" w14:textId="77777777" w:rsidR="002D6E00" w:rsidRPr="008270B7" w:rsidRDefault="002D6E00" w:rsidP="008270B7">
      <w:pPr>
        <w:tabs>
          <w:tab w:val="left" w:pos="720"/>
        </w:tabs>
        <w:jc w:val="both"/>
        <w:rPr>
          <w:rFonts w:cs="Arial"/>
          <w:sz w:val="16"/>
          <w:szCs w:val="16"/>
        </w:rPr>
      </w:pPr>
      <w:r w:rsidRPr="008270B7">
        <w:rPr>
          <w:rFonts w:cs="Arial"/>
          <w:sz w:val="16"/>
          <w:szCs w:val="16"/>
        </w:rPr>
        <w:t>1.5.3. Aplicación</w:t>
      </w:r>
    </w:p>
    <w:p w14:paraId="2DDFA454" w14:textId="77777777" w:rsidR="002D6E00" w:rsidRPr="008270B7" w:rsidRDefault="002D6E00" w:rsidP="008270B7">
      <w:pPr>
        <w:tabs>
          <w:tab w:val="left" w:pos="720"/>
        </w:tabs>
        <w:jc w:val="both"/>
        <w:rPr>
          <w:rFonts w:cs="Arial"/>
          <w:sz w:val="16"/>
          <w:szCs w:val="16"/>
        </w:rPr>
      </w:pPr>
    </w:p>
    <w:p w14:paraId="77AFEF39" w14:textId="77777777" w:rsidR="002D6E00" w:rsidRPr="008270B7" w:rsidRDefault="002D6E00" w:rsidP="008270B7">
      <w:pPr>
        <w:tabs>
          <w:tab w:val="left" w:pos="720"/>
          <w:tab w:val="left" w:pos="1064"/>
          <w:tab w:val="left" w:pos="2057"/>
        </w:tabs>
        <w:ind w:right="51"/>
        <w:jc w:val="both"/>
        <w:rPr>
          <w:rFonts w:cs="Arial"/>
          <w:sz w:val="16"/>
          <w:szCs w:val="16"/>
        </w:rPr>
      </w:pPr>
      <w:r w:rsidRPr="008270B7">
        <w:rPr>
          <w:rFonts w:cs="Arial"/>
          <w:sz w:val="16"/>
          <w:szCs w:val="16"/>
        </w:rPr>
        <w:t>Los mecanismos de financiación previstos en el presente numeral no pueden ser aplicados a las primas correspondientes a los contratos de seguros cuya forma de pago a través de esta modalidad no fue previamente pactada.</w:t>
      </w:r>
    </w:p>
    <w:p w14:paraId="33794D34" w14:textId="77777777" w:rsidR="002D6E00" w:rsidRPr="008270B7" w:rsidRDefault="002D6E00" w:rsidP="008270B7">
      <w:pPr>
        <w:tabs>
          <w:tab w:val="left" w:pos="720"/>
          <w:tab w:val="left" w:pos="1064"/>
          <w:tab w:val="left" w:pos="2057"/>
        </w:tabs>
        <w:ind w:right="51"/>
        <w:jc w:val="both"/>
        <w:rPr>
          <w:rFonts w:cs="Arial"/>
          <w:sz w:val="16"/>
          <w:szCs w:val="16"/>
        </w:rPr>
      </w:pPr>
    </w:p>
    <w:p w14:paraId="4F938228" w14:textId="77777777" w:rsidR="002D6E00" w:rsidRPr="008270B7" w:rsidRDefault="002D6E00" w:rsidP="008270B7">
      <w:pPr>
        <w:pStyle w:val="Ttulo2"/>
        <w:jc w:val="both"/>
        <w:rPr>
          <w:b w:val="0"/>
          <w:bCs w:val="0"/>
          <w:szCs w:val="16"/>
        </w:rPr>
      </w:pPr>
      <w:bookmarkStart w:id="4" w:name="_Toc269950159"/>
      <w:r w:rsidRPr="008270B7">
        <w:rPr>
          <w:b w:val="0"/>
          <w:bCs w:val="0"/>
          <w:szCs w:val="16"/>
        </w:rPr>
        <w:t>1.6. Retención de riesgos, cesión y aceptación de reaseguros</w:t>
      </w:r>
      <w:bookmarkEnd w:id="4"/>
    </w:p>
    <w:p w14:paraId="68F51032" w14:textId="77777777" w:rsidR="002D6E00" w:rsidRPr="008270B7" w:rsidRDefault="002D6E00" w:rsidP="008270B7">
      <w:pPr>
        <w:tabs>
          <w:tab w:val="left" w:pos="720"/>
        </w:tabs>
        <w:jc w:val="both"/>
        <w:rPr>
          <w:rFonts w:cs="Arial"/>
          <w:sz w:val="16"/>
          <w:szCs w:val="16"/>
        </w:rPr>
      </w:pPr>
    </w:p>
    <w:p w14:paraId="1C7B3BF0" w14:textId="77777777" w:rsidR="002D6E00" w:rsidRPr="008270B7" w:rsidRDefault="002D6E00" w:rsidP="008270B7">
      <w:pPr>
        <w:pStyle w:val="Prrafodelista"/>
        <w:ind w:left="0"/>
        <w:jc w:val="both"/>
        <w:rPr>
          <w:rFonts w:cs="Arial"/>
          <w:sz w:val="16"/>
          <w:szCs w:val="16"/>
        </w:rPr>
      </w:pPr>
      <w:r w:rsidRPr="008270B7">
        <w:rPr>
          <w:rFonts w:cs="Arial"/>
          <w:sz w:val="16"/>
          <w:szCs w:val="16"/>
        </w:rPr>
        <w:t>1.6.1. Programa de reaseguro</w:t>
      </w:r>
    </w:p>
    <w:p w14:paraId="3EB71DA3" w14:textId="77777777" w:rsidR="002D6E00" w:rsidRPr="008270B7" w:rsidRDefault="002D6E00" w:rsidP="008270B7">
      <w:pPr>
        <w:pStyle w:val="Prrafodelista"/>
        <w:ind w:left="0"/>
        <w:jc w:val="both"/>
        <w:rPr>
          <w:rFonts w:cs="Arial"/>
          <w:sz w:val="16"/>
          <w:szCs w:val="16"/>
        </w:rPr>
      </w:pPr>
    </w:p>
    <w:p w14:paraId="045C6631" w14:textId="77777777" w:rsidR="008270B7" w:rsidRPr="008270B7" w:rsidRDefault="008270B7" w:rsidP="008270B7">
      <w:pPr>
        <w:pBdr>
          <w:left w:val="single" w:sz="4" w:space="4" w:color="auto"/>
        </w:pBdr>
        <w:shd w:val="clear" w:color="auto" w:fill="FFFFFF"/>
        <w:jc w:val="both"/>
        <w:rPr>
          <w:rFonts w:cs="Arial"/>
          <w:b/>
          <w:bCs/>
          <w:sz w:val="16"/>
          <w:szCs w:val="16"/>
        </w:rPr>
      </w:pPr>
      <w:r w:rsidRPr="008270B7">
        <w:rPr>
          <w:rFonts w:cs="Arial"/>
          <w:b/>
          <w:bCs/>
          <w:sz w:val="16"/>
          <w:szCs w:val="16"/>
        </w:rPr>
        <w:t xml:space="preserve">El programa de reaseguro es la estrategia integral con base en la cual las entidades aseguradoras transfieren a reaseguradoras una porción de los riesgos asumidos en virtud de contratos de seguro. Para efectos de las instrucciones establecidas respecto del programa de reaseguro, se entiende como reaseguradora cualquier entidad nacional o extranjera que desarrolle operaciones de reaseguro. </w:t>
      </w:r>
    </w:p>
    <w:p w14:paraId="0DF4218F" w14:textId="77777777" w:rsidR="002D6E00" w:rsidRPr="008270B7" w:rsidRDefault="002D6E00" w:rsidP="008270B7">
      <w:pPr>
        <w:pStyle w:val="Prrafodelista"/>
        <w:ind w:left="0"/>
        <w:jc w:val="both"/>
        <w:rPr>
          <w:rFonts w:cs="Arial"/>
          <w:sz w:val="16"/>
          <w:szCs w:val="16"/>
        </w:rPr>
      </w:pPr>
    </w:p>
    <w:p w14:paraId="69B826AA" w14:textId="77777777" w:rsidR="002D6E00" w:rsidRPr="008270B7" w:rsidRDefault="002D6E00" w:rsidP="008270B7">
      <w:pPr>
        <w:pStyle w:val="Prrafodelista"/>
        <w:ind w:left="0"/>
        <w:jc w:val="both"/>
        <w:rPr>
          <w:rFonts w:cs="Arial"/>
          <w:sz w:val="16"/>
          <w:szCs w:val="16"/>
        </w:rPr>
      </w:pPr>
      <w:r w:rsidRPr="008270B7">
        <w:rPr>
          <w:rFonts w:cs="Arial"/>
          <w:sz w:val="16"/>
          <w:szCs w:val="16"/>
        </w:rPr>
        <w:t xml:space="preserve">Las entidades aseguradoras deben contar con un esquema de contratación de reaseguros que fije criterios y procedimientos para la selección de sus contrapartes, teniendo en cuenta la capacidad de éstas para asumir las obligaciones derivadas de dichos contratos. El esquema de contratación de reaseguros de la entidad y sus respectivas políticas deben estar a disposición de la SFC, la cual podrá solicitar ajustes a los mismos. </w:t>
      </w:r>
    </w:p>
    <w:p w14:paraId="58B03F0B" w14:textId="77777777" w:rsidR="002D6E00" w:rsidRPr="008270B7" w:rsidRDefault="002D6E00" w:rsidP="008270B7">
      <w:pPr>
        <w:pStyle w:val="Prrafodelista"/>
        <w:ind w:left="0"/>
        <w:jc w:val="both"/>
        <w:rPr>
          <w:rFonts w:cs="Arial"/>
          <w:sz w:val="16"/>
          <w:szCs w:val="16"/>
        </w:rPr>
      </w:pPr>
    </w:p>
    <w:p w14:paraId="7C6F696D" w14:textId="77777777" w:rsidR="002D6E00" w:rsidRPr="008270B7" w:rsidRDefault="002D6E00" w:rsidP="008270B7">
      <w:pPr>
        <w:pStyle w:val="Prrafodelista"/>
        <w:ind w:left="0"/>
        <w:jc w:val="both"/>
        <w:rPr>
          <w:rFonts w:cs="Arial"/>
          <w:sz w:val="16"/>
          <w:szCs w:val="16"/>
        </w:rPr>
      </w:pPr>
      <w:r w:rsidRPr="008270B7">
        <w:rPr>
          <w:rFonts w:cs="Arial"/>
          <w:sz w:val="16"/>
          <w:szCs w:val="16"/>
        </w:rPr>
        <w:t>1.6.2. Responsabilidades de la junta directiva de las entidades aseguradoras.</w:t>
      </w:r>
    </w:p>
    <w:p w14:paraId="592C7208" w14:textId="77777777" w:rsidR="002D6E00" w:rsidRPr="008270B7" w:rsidRDefault="002D6E00" w:rsidP="008270B7">
      <w:pPr>
        <w:pStyle w:val="Prrafodelista"/>
        <w:ind w:left="0"/>
        <w:jc w:val="both"/>
        <w:rPr>
          <w:rFonts w:cs="Arial"/>
          <w:sz w:val="16"/>
          <w:szCs w:val="16"/>
        </w:rPr>
      </w:pPr>
    </w:p>
    <w:p w14:paraId="191F8B6E" w14:textId="77777777" w:rsidR="002D6E00" w:rsidRPr="008270B7" w:rsidRDefault="002D6E00" w:rsidP="008270B7">
      <w:pPr>
        <w:pStyle w:val="Prrafodelista"/>
        <w:ind w:left="0"/>
        <w:jc w:val="both"/>
        <w:rPr>
          <w:rFonts w:cs="Arial"/>
          <w:sz w:val="16"/>
          <w:szCs w:val="16"/>
        </w:rPr>
      </w:pPr>
      <w:r w:rsidRPr="008270B7">
        <w:rPr>
          <w:rFonts w:cs="Arial"/>
          <w:sz w:val="16"/>
          <w:szCs w:val="16"/>
        </w:rPr>
        <w:t>La junta directiva de las entidades aseguradoras debe:</w:t>
      </w:r>
    </w:p>
    <w:p w14:paraId="6A34AB5D" w14:textId="77777777" w:rsidR="002D6E00" w:rsidRPr="008270B7" w:rsidRDefault="002D6E00" w:rsidP="008270B7">
      <w:pPr>
        <w:pStyle w:val="Prrafodelista"/>
        <w:ind w:left="0"/>
        <w:jc w:val="both"/>
        <w:rPr>
          <w:rFonts w:cs="Arial"/>
          <w:sz w:val="16"/>
          <w:szCs w:val="16"/>
        </w:rPr>
      </w:pPr>
    </w:p>
    <w:p w14:paraId="019EF5AA" w14:textId="77777777" w:rsidR="002D6E00" w:rsidRPr="008270B7" w:rsidRDefault="002D6E00" w:rsidP="008270B7">
      <w:pPr>
        <w:pStyle w:val="Prrafodelista"/>
        <w:ind w:left="0"/>
        <w:jc w:val="both"/>
        <w:rPr>
          <w:rFonts w:cs="Arial"/>
          <w:sz w:val="16"/>
          <w:szCs w:val="16"/>
        </w:rPr>
      </w:pPr>
      <w:r w:rsidRPr="008270B7">
        <w:rPr>
          <w:rFonts w:cs="Arial"/>
          <w:sz w:val="16"/>
          <w:szCs w:val="16"/>
        </w:rPr>
        <w:t xml:space="preserve">1.6.2.1. Definir aprobar y hacer seguimiento a las políticas de retención de riesgos y el esquema de contratación de reaseguros de la entidad, el cual debe contener como mínimo: </w:t>
      </w:r>
    </w:p>
    <w:p w14:paraId="4A433D4B" w14:textId="77777777" w:rsidR="002D6E00" w:rsidRPr="008270B7" w:rsidRDefault="002D6E00" w:rsidP="008270B7">
      <w:pPr>
        <w:pStyle w:val="Prrafodelista"/>
        <w:ind w:left="0"/>
        <w:jc w:val="both"/>
        <w:rPr>
          <w:rFonts w:cs="Arial"/>
          <w:sz w:val="16"/>
          <w:szCs w:val="16"/>
        </w:rPr>
      </w:pPr>
    </w:p>
    <w:p w14:paraId="10934B7B" w14:textId="77777777" w:rsidR="002D6E00" w:rsidRPr="008270B7" w:rsidRDefault="002D6E00" w:rsidP="008270B7">
      <w:pPr>
        <w:pStyle w:val="Prrafodelista"/>
        <w:ind w:left="0"/>
        <w:jc w:val="both"/>
        <w:rPr>
          <w:rFonts w:cs="Arial"/>
          <w:sz w:val="16"/>
          <w:szCs w:val="16"/>
        </w:rPr>
      </w:pPr>
      <w:r w:rsidRPr="008270B7">
        <w:rPr>
          <w:rFonts w:cs="Arial"/>
          <w:sz w:val="16"/>
          <w:szCs w:val="16"/>
        </w:rPr>
        <w:t xml:space="preserve">1.6.2.1.1. Los lineamientos de diversificación de las reaseguradoras consideradas dentro del programa de reaseguro. </w:t>
      </w:r>
    </w:p>
    <w:p w14:paraId="7DC35578" w14:textId="77777777" w:rsidR="002D6E00" w:rsidRPr="008270B7" w:rsidRDefault="002D6E00" w:rsidP="008270B7">
      <w:pPr>
        <w:pStyle w:val="Prrafodelista"/>
        <w:ind w:left="0"/>
        <w:jc w:val="both"/>
        <w:rPr>
          <w:rFonts w:cs="Arial"/>
          <w:sz w:val="16"/>
          <w:szCs w:val="16"/>
        </w:rPr>
      </w:pPr>
      <w:r w:rsidRPr="008270B7">
        <w:rPr>
          <w:rFonts w:cs="Arial"/>
          <w:sz w:val="16"/>
          <w:szCs w:val="16"/>
        </w:rPr>
        <w:t>1.6.2.1.2. Las calificaciones de fortaleza financiera de las reaseguradoras que admitirá la entidad aseguradora, vigentes a la fecha de celebración del contrato de reaseguro.</w:t>
      </w:r>
    </w:p>
    <w:p w14:paraId="49B2C7BE" w14:textId="77777777" w:rsidR="002D6E00" w:rsidRPr="008270B7" w:rsidRDefault="002D6E00" w:rsidP="008270B7">
      <w:pPr>
        <w:pStyle w:val="Prrafodelista"/>
        <w:ind w:left="0"/>
        <w:jc w:val="both"/>
        <w:rPr>
          <w:rFonts w:cs="Arial"/>
          <w:sz w:val="16"/>
          <w:szCs w:val="16"/>
        </w:rPr>
      </w:pPr>
      <w:r w:rsidRPr="008270B7">
        <w:rPr>
          <w:rFonts w:cs="Arial"/>
          <w:sz w:val="16"/>
          <w:szCs w:val="16"/>
        </w:rPr>
        <w:t xml:space="preserve">1.6.2.1.3. Las variables que serán requeridas por la entidad aseguradora para evaluar la fortaleza financiera de la reaseguradora, tales como rendimientos de inversiones, nivel y acceso a capital, fuentes y nivel de liquidez y su participación en el total de inversiones, evolución del patrimonio, relaciones de solvencia, nivel de reservas técnicas y su composición (reservas de primas, reservas de siniestros y otras). </w:t>
      </w:r>
    </w:p>
    <w:p w14:paraId="6AA59445" w14:textId="77777777" w:rsidR="002D6E00" w:rsidRPr="008270B7" w:rsidRDefault="002D6E00" w:rsidP="008270B7">
      <w:pPr>
        <w:pStyle w:val="Prrafodelista"/>
        <w:ind w:left="0"/>
        <w:jc w:val="both"/>
        <w:rPr>
          <w:rFonts w:cs="Arial"/>
          <w:sz w:val="16"/>
          <w:szCs w:val="16"/>
        </w:rPr>
      </w:pPr>
      <w:r w:rsidRPr="008270B7">
        <w:rPr>
          <w:rFonts w:cs="Arial"/>
          <w:sz w:val="16"/>
          <w:szCs w:val="16"/>
        </w:rPr>
        <w:t xml:space="preserve">1.6.2.1.4. La lista de reaseguradoras, seleccionadas bajo criterios técnicos, a las cuales se les debe solicitar las calificaciones internacionales de fortaleza financiera de sus </w:t>
      </w:r>
      <w:proofErr w:type="spellStart"/>
      <w:r w:rsidRPr="008270B7">
        <w:rPr>
          <w:rFonts w:cs="Arial"/>
          <w:sz w:val="16"/>
          <w:szCs w:val="16"/>
        </w:rPr>
        <w:t>retrocesionarios</w:t>
      </w:r>
      <w:proofErr w:type="spellEnd"/>
      <w:r w:rsidRPr="008270B7">
        <w:rPr>
          <w:rFonts w:cs="Arial"/>
          <w:sz w:val="16"/>
          <w:szCs w:val="16"/>
        </w:rPr>
        <w:t>, así como aquellas reaseguradoras a las cuales se les debe ejecutar un procedimiento determinado por la entidad aseguradora para la verificación de su adecuada gestión de los riesgos. Dentro de los criterios técnicos considerados debe incluirse la participación de cada reaseguradora en la transferencia total de riesgos por ramo y la calificación de fortaleza financiera de la reaseguradora.</w:t>
      </w:r>
    </w:p>
    <w:p w14:paraId="6D360982" w14:textId="77777777" w:rsidR="002D6E00" w:rsidRPr="008270B7" w:rsidRDefault="002D6E00" w:rsidP="008270B7">
      <w:pPr>
        <w:pStyle w:val="Prrafodelista"/>
        <w:ind w:left="0"/>
        <w:jc w:val="both"/>
        <w:rPr>
          <w:rFonts w:cs="Arial"/>
          <w:sz w:val="16"/>
          <w:szCs w:val="16"/>
        </w:rPr>
      </w:pPr>
      <w:r w:rsidRPr="008270B7">
        <w:rPr>
          <w:rFonts w:cs="Arial"/>
          <w:sz w:val="16"/>
          <w:szCs w:val="16"/>
        </w:rPr>
        <w:t>1.6.2.1.5. Las demás características que la entidad aseguradora considere relevantes en función de su tamaño, apetito al riesgo y naturaleza, tales como el comportamiento anual de las primas brutas y netas, la siniestralidad, el registro histórico de pago de reclamaciones respecto de tiempos de pago y objeciones de siniestros, los gastos operacionales, criterios para la contratación mediante intermediarios de reaseguros y el comportamiento esperado de reclamaciones.</w:t>
      </w:r>
    </w:p>
    <w:p w14:paraId="4D17B663" w14:textId="77777777" w:rsidR="002D6E00" w:rsidRPr="008270B7" w:rsidRDefault="002D6E00" w:rsidP="008270B7">
      <w:pPr>
        <w:pStyle w:val="Prrafodelista"/>
        <w:ind w:left="0"/>
        <w:jc w:val="both"/>
        <w:rPr>
          <w:rFonts w:cs="Arial"/>
          <w:sz w:val="16"/>
          <w:szCs w:val="16"/>
        </w:rPr>
      </w:pPr>
    </w:p>
    <w:p w14:paraId="21BCDF0A" w14:textId="77777777" w:rsidR="002D6E00" w:rsidRPr="008270B7" w:rsidRDefault="002D6E00" w:rsidP="008270B7">
      <w:pPr>
        <w:tabs>
          <w:tab w:val="left" w:pos="720"/>
        </w:tabs>
        <w:jc w:val="both"/>
        <w:rPr>
          <w:rFonts w:cs="Arial"/>
          <w:sz w:val="16"/>
          <w:szCs w:val="16"/>
        </w:rPr>
      </w:pPr>
      <w:r w:rsidRPr="008270B7">
        <w:rPr>
          <w:rFonts w:cs="Arial"/>
          <w:sz w:val="16"/>
          <w:szCs w:val="16"/>
        </w:rPr>
        <w:t xml:space="preserve">1.6.2.2. Aprobar la metodología de cuantificación de las contingencias a cargo de las reaseguradoras, empleada en la contabilización de las reservas técnicas. </w:t>
      </w:r>
    </w:p>
    <w:p w14:paraId="65C54BC3" w14:textId="77777777" w:rsidR="002D6E00" w:rsidRPr="008270B7" w:rsidRDefault="002D6E00" w:rsidP="008270B7">
      <w:pPr>
        <w:tabs>
          <w:tab w:val="left" w:pos="720"/>
        </w:tabs>
        <w:jc w:val="both"/>
        <w:rPr>
          <w:rFonts w:cs="Arial"/>
          <w:sz w:val="16"/>
          <w:szCs w:val="16"/>
        </w:rPr>
      </w:pPr>
    </w:p>
    <w:p w14:paraId="5CF85C78" w14:textId="77777777" w:rsidR="002D6E00" w:rsidRPr="008270B7" w:rsidRDefault="002D6E00" w:rsidP="008270B7">
      <w:pPr>
        <w:tabs>
          <w:tab w:val="left" w:pos="720"/>
        </w:tabs>
        <w:jc w:val="both"/>
        <w:rPr>
          <w:rFonts w:cs="Arial"/>
          <w:sz w:val="16"/>
          <w:szCs w:val="16"/>
        </w:rPr>
      </w:pPr>
      <w:r w:rsidRPr="008270B7">
        <w:rPr>
          <w:rFonts w:cs="Arial"/>
          <w:sz w:val="16"/>
          <w:szCs w:val="16"/>
        </w:rPr>
        <w:t>1.6.2.3. Aprobar el procedimiento de seguimiento para aquellos casos en que, pese a la terminación del contrato de reaseguro, no se han extinguido por completo todas las obligaciones a cargo de la reaseguradora.</w:t>
      </w:r>
    </w:p>
    <w:p w14:paraId="3F003F43" w14:textId="77777777" w:rsidR="002D6E00" w:rsidRPr="008270B7" w:rsidRDefault="002D6E00" w:rsidP="008270B7">
      <w:pPr>
        <w:tabs>
          <w:tab w:val="left" w:pos="720"/>
        </w:tabs>
        <w:jc w:val="both"/>
        <w:rPr>
          <w:rFonts w:cs="Arial"/>
          <w:sz w:val="16"/>
          <w:szCs w:val="16"/>
        </w:rPr>
      </w:pPr>
    </w:p>
    <w:p w14:paraId="0787B4C0" w14:textId="77777777" w:rsidR="002D6E00" w:rsidRPr="008270B7" w:rsidRDefault="002D6E00" w:rsidP="008270B7">
      <w:pPr>
        <w:tabs>
          <w:tab w:val="left" w:pos="720"/>
        </w:tabs>
        <w:jc w:val="both"/>
        <w:rPr>
          <w:rFonts w:cs="Arial"/>
          <w:sz w:val="16"/>
          <w:szCs w:val="16"/>
        </w:rPr>
      </w:pPr>
      <w:r w:rsidRPr="008270B7">
        <w:rPr>
          <w:rFonts w:cs="Arial"/>
          <w:sz w:val="16"/>
          <w:szCs w:val="16"/>
        </w:rPr>
        <w:t>1.6.2.4. Conocer y hacer seguimiento al valor máximo de exposición por riesgo después de haberse deducido las coberturas del programa de reaseguro.</w:t>
      </w:r>
    </w:p>
    <w:p w14:paraId="7C2DE132" w14:textId="77777777" w:rsidR="002D6E00" w:rsidRPr="008270B7" w:rsidRDefault="002D6E00" w:rsidP="008270B7">
      <w:pPr>
        <w:tabs>
          <w:tab w:val="left" w:pos="720"/>
        </w:tabs>
        <w:jc w:val="both"/>
        <w:rPr>
          <w:rFonts w:cs="Arial"/>
          <w:sz w:val="16"/>
          <w:szCs w:val="16"/>
        </w:rPr>
      </w:pPr>
    </w:p>
    <w:p w14:paraId="072524E4" w14:textId="77777777" w:rsidR="002D6E00" w:rsidRPr="008270B7" w:rsidRDefault="002D6E00" w:rsidP="008270B7">
      <w:pPr>
        <w:tabs>
          <w:tab w:val="left" w:pos="720"/>
        </w:tabs>
        <w:jc w:val="both"/>
        <w:rPr>
          <w:rFonts w:cs="Arial"/>
          <w:sz w:val="16"/>
          <w:szCs w:val="16"/>
        </w:rPr>
      </w:pPr>
      <w:r w:rsidRPr="008270B7">
        <w:rPr>
          <w:rFonts w:cs="Arial"/>
          <w:sz w:val="16"/>
          <w:szCs w:val="16"/>
        </w:rPr>
        <w:t>1.6.3. Condiciones para la transferencia de riesgo mediante contratos de reaseguro</w:t>
      </w:r>
    </w:p>
    <w:p w14:paraId="3704FDB2" w14:textId="77777777" w:rsidR="002D6E00" w:rsidRPr="008270B7" w:rsidRDefault="002D6E00" w:rsidP="008270B7">
      <w:pPr>
        <w:tabs>
          <w:tab w:val="left" w:pos="720"/>
        </w:tabs>
        <w:jc w:val="both"/>
        <w:rPr>
          <w:rFonts w:cs="Arial"/>
          <w:sz w:val="16"/>
          <w:szCs w:val="16"/>
        </w:rPr>
      </w:pPr>
    </w:p>
    <w:p w14:paraId="55855859" w14:textId="77777777" w:rsidR="002D6E00" w:rsidRPr="008270B7" w:rsidRDefault="002D6E00" w:rsidP="008270B7">
      <w:pPr>
        <w:tabs>
          <w:tab w:val="left" w:pos="720"/>
        </w:tabs>
        <w:jc w:val="both"/>
        <w:rPr>
          <w:rFonts w:cs="Arial"/>
          <w:sz w:val="16"/>
          <w:szCs w:val="16"/>
        </w:rPr>
      </w:pPr>
      <w:r w:rsidRPr="008270B7">
        <w:rPr>
          <w:rFonts w:cs="Arial"/>
          <w:sz w:val="16"/>
          <w:szCs w:val="16"/>
        </w:rPr>
        <w:t xml:space="preserve">La contratación de reaseguro por parte de las entidades aseguradoras debe efectuarse en condiciones que garanticen la seguridad de cada entidad. En tal virtud, la determinación de las condiciones particulares de los contratos relativas a plazos, tasas y comisiones debe responder a principios que garanticen adecuadas capacidades de contratación y una nómina de reaseguradores y entidades aseguradoras que desarrollen operaciones de reaseguro de reconocida solidez y solvencia. </w:t>
      </w:r>
    </w:p>
    <w:p w14:paraId="779B417E" w14:textId="77777777" w:rsidR="002D6E00" w:rsidRPr="008270B7" w:rsidRDefault="002D6E00" w:rsidP="008270B7">
      <w:pPr>
        <w:tabs>
          <w:tab w:val="left" w:pos="720"/>
        </w:tabs>
        <w:jc w:val="both"/>
        <w:rPr>
          <w:rFonts w:cs="Arial"/>
          <w:sz w:val="16"/>
          <w:szCs w:val="16"/>
        </w:rPr>
        <w:sectPr w:rsidR="002D6E00" w:rsidRPr="008270B7" w:rsidSect="00697CF2">
          <w:footerReference w:type="default" r:id="rId31"/>
          <w:headerReference w:type="first" r:id="rId32"/>
          <w:footerReference w:type="first" r:id="rId33"/>
          <w:pgSz w:w="12240" w:h="18720" w:code="257"/>
          <w:pgMar w:top="1417" w:right="1701" w:bottom="1417" w:left="1701" w:header="709" w:footer="865" w:gutter="0"/>
          <w:cols w:space="708"/>
          <w:titlePg/>
          <w:docGrid w:linePitch="360"/>
        </w:sectPr>
      </w:pPr>
    </w:p>
    <w:p w14:paraId="1A2C85F2" w14:textId="77777777" w:rsidR="002D6E00" w:rsidRPr="008270B7" w:rsidRDefault="002D6E00" w:rsidP="008270B7">
      <w:pPr>
        <w:tabs>
          <w:tab w:val="left" w:pos="720"/>
          <w:tab w:val="left" w:pos="1064"/>
          <w:tab w:val="left" w:pos="2057"/>
        </w:tabs>
        <w:ind w:right="49"/>
        <w:jc w:val="both"/>
        <w:rPr>
          <w:rFonts w:cs="Arial"/>
          <w:sz w:val="16"/>
          <w:szCs w:val="16"/>
        </w:rPr>
      </w:pPr>
      <w:r w:rsidRPr="008270B7">
        <w:rPr>
          <w:rFonts w:cs="Arial"/>
          <w:sz w:val="16"/>
          <w:szCs w:val="16"/>
        </w:rPr>
        <w:lastRenderedPageBreak/>
        <w:t>En la contratación de reaseguro las entidades aseguradoras deben:</w:t>
      </w:r>
    </w:p>
    <w:p w14:paraId="391B6277" w14:textId="77777777" w:rsidR="002D6E00" w:rsidRPr="008270B7" w:rsidRDefault="002D6E00" w:rsidP="008270B7">
      <w:pPr>
        <w:tabs>
          <w:tab w:val="left" w:pos="720"/>
          <w:tab w:val="left" w:pos="1064"/>
          <w:tab w:val="left" w:pos="2057"/>
        </w:tabs>
        <w:ind w:right="49"/>
        <w:jc w:val="both"/>
        <w:rPr>
          <w:rFonts w:cs="Arial"/>
          <w:sz w:val="16"/>
          <w:szCs w:val="16"/>
        </w:rPr>
      </w:pPr>
    </w:p>
    <w:p w14:paraId="6A9D48FE" w14:textId="02A6F235" w:rsidR="002D6E00" w:rsidRPr="008270B7" w:rsidRDefault="002D6E00" w:rsidP="008270B7">
      <w:pPr>
        <w:tabs>
          <w:tab w:val="left" w:pos="720"/>
          <w:tab w:val="left" w:pos="1064"/>
          <w:tab w:val="left" w:pos="2057"/>
        </w:tabs>
        <w:ind w:right="49"/>
        <w:jc w:val="both"/>
        <w:rPr>
          <w:rFonts w:cs="Arial"/>
          <w:sz w:val="16"/>
          <w:szCs w:val="16"/>
        </w:rPr>
      </w:pPr>
      <w:r w:rsidRPr="008270B7">
        <w:rPr>
          <w:rFonts w:cs="Arial"/>
          <w:sz w:val="16"/>
          <w:szCs w:val="16"/>
        </w:rPr>
        <w:t xml:space="preserve">1.6.3.1. Realizar ejercicios actuariales de modelación de las pérdidas. Para el efecto, deben implementar un modelo cuantitativo que, con un determinado nivel de confianza, permita establecer que el programa de reaseguro es razonable para respaldar la siniestralidad estimada para la cartera. Los modelos a los que hace referencia el presente </w:t>
      </w:r>
      <w:proofErr w:type="spellStart"/>
      <w:r w:rsidRPr="008270B7">
        <w:rPr>
          <w:rFonts w:cs="Arial"/>
          <w:sz w:val="16"/>
          <w:szCs w:val="16"/>
        </w:rPr>
        <w:t>subnumeral</w:t>
      </w:r>
      <w:proofErr w:type="spellEnd"/>
      <w:r w:rsidRPr="008270B7">
        <w:rPr>
          <w:rFonts w:cs="Arial"/>
          <w:sz w:val="16"/>
          <w:szCs w:val="16"/>
        </w:rPr>
        <w:t xml:space="preserve"> deben cumplir con los siguientes requisitos: i) basarse en métodos validados técnicamente con suficiente desarrollo tanto teórico como práctico y que contemplen múltiples escenarios, y </w:t>
      </w:r>
      <w:proofErr w:type="spellStart"/>
      <w:r w:rsidRPr="008270B7">
        <w:rPr>
          <w:rFonts w:cs="Arial"/>
          <w:sz w:val="16"/>
          <w:szCs w:val="16"/>
        </w:rPr>
        <w:t>ii</w:t>
      </w:r>
      <w:proofErr w:type="spellEnd"/>
      <w:r w:rsidRPr="008270B7">
        <w:rPr>
          <w:rFonts w:cs="Arial"/>
          <w:sz w:val="16"/>
          <w:szCs w:val="16"/>
        </w:rPr>
        <w:t>) basarse en la experiencia de siniestros propia de la entidad aseguradora, para lo cual se tomará una base de datos que permita realizar estimaciones estadística y actuarialmente razonables. En caso de que la entidad aseguradora inicie la operación del ramo o no cuente con información suficiente, debe basarse, entre otros, en la información histórica que ha acumulado a la fecha de cálculo y supuestos propios razonables construidos a partir de la información del mercado colombiano o de otros mercados con características comparables. En todo caso, deben asumirse cargos adicionales por la incertidumbre asociada a cambios en la composición de la cartera y la falta de información.</w:t>
      </w:r>
    </w:p>
    <w:p w14:paraId="2F062957" w14:textId="77777777" w:rsidR="002D6E00" w:rsidRPr="008270B7" w:rsidRDefault="002D6E00" w:rsidP="008270B7">
      <w:pPr>
        <w:tabs>
          <w:tab w:val="left" w:pos="720"/>
          <w:tab w:val="left" w:pos="1064"/>
          <w:tab w:val="left" w:pos="2057"/>
        </w:tabs>
        <w:ind w:right="49"/>
        <w:jc w:val="both"/>
        <w:rPr>
          <w:rFonts w:cs="Arial"/>
          <w:sz w:val="16"/>
          <w:szCs w:val="16"/>
        </w:rPr>
      </w:pPr>
    </w:p>
    <w:p w14:paraId="1A6CCC1E" w14:textId="77777777" w:rsidR="002D6E00" w:rsidRPr="008270B7" w:rsidRDefault="002D6E00" w:rsidP="008270B7">
      <w:pPr>
        <w:tabs>
          <w:tab w:val="left" w:pos="720"/>
          <w:tab w:val="left" w:pos="1064"/>
          <w:tab w:val="left" w:pos="2057"/>
        </w:tabs>
        <w:ind w:right="49"/>
        <w:jc w:val="both"/>
        <w:rPr>
          <w:rFonts w:cs="Arial"/>
          <w:sz w:val="16"/>
          <w:szCs w:val="16"/>
        </w:rPr>
      </w:pPr>
      <w:r w:rsidRPr="008270B7">
        <w:rPr>
          <w:rFonts w:cs="Arial"/>
          <w:sz w:val="16"/>
          <w:szCs w:val="16"/>
        </w:rPr>
        <w:t xml:space="preserve">Los modelos deben estar documentados y permanecer a disposición de la SFC, incluyendo los supuestos, parámetros, la simulación de las pérdidas de la cartera y demás elementos que fundamentaron su construcción y/o sustentación. Las modificaciones también deben mantenerse a disposición de la SFC, junto con la documentación de las razones que las sustentan y los impactos de los ajustes realizados sobre las pérdidas probables de la cartera. </w:t>
      </w:r>
    </w:p>
    <w:p w14:paraId="5ADF68BF" w14:textId="77777777" w:rsidR="002D6E00" w:rsidRPr="008270B7" w:rsidRDefault="002D6E00" w:rsidP="008270B7">
      <w:pPr>
        <w:tabs>
          <w:tab w:val="left" w:pos="720"/>
          <w:tab w:val="left" w:pos="1064"/>
          <w:tab w:val="left" w:pos="2057"/>
        </w:tabs>
        <w:ind w:right="49"/>
        <w:jc w:val="both"/>
        <w:rPr>
          <w:rFonts w:cs="Arial"/>
          <w:sz w:val="16"/>
          <w:szCs w:val="16"/>
        </w:rPr>
      </w:pPr>
    </w:p>
    <w:p w14:paraId="47C25D06" w14:textId="77777777" w:rsidR="002D6E00" w:rsidRPr="008270B7" w:rsidRDefault="002D6E00" w:rsidP="008270B7">
      <w:pPr>
        <w:tabs>
          <w:tab w:val="left" w:pos="720"/>
          <w:tab w:val="left" w:pos="1064"/>
          <w:tab w:val="left" w:pos="2057"/>
        </w:tabs>
        <w:ind w:right="49"/>
        <w:jc w:val="both"/>
        <w:rPr>
          <w:rFonts w:cs="Arial"/>
          <w:sz w:val="16"/>
          <w:szCs w:val="16"/>
        </w:rPr>
      </w:pPr>
      <w:r w:rsidRPr="008270B7">
        <w:rPr>
          <w:rFonts w:cs="Arial"/>
          <w:sz w:val="16"/>
          <w:szCs w:val="16"/>
        </w:rPr>
        <w:t>1.6.3.2. Adelantar una evaluación que permita establecer que la capacidad vigente del programa de reaseguro soporta las pérdidas potenciales de la cartera asegurada y aquellas que se deriven de la suscripción de nuevos riesgos.</w:t>
      </w:r>
    </w:p>
    <w:p w14:paraId="06778FC4" w14:textId="77777777" w:rsidR="002D6E00" w:rsidRPr="008270B7" w:rsidRDefault="002D6E00" w:rsidP="008270B7">
      <w:pPr>
        <w:tabs>
          <w:tab w:val="left" w:pos="720"/>
          <w:tab w:val="left" w:pos="1064"/>
          <w:tab w:val="left" w:pos="2057"/>
        </w:tabs>
        <w:ind w:right="49"/>
        <w:jc w:val="both"/>
        <w:rPr>
          <w:rFonts w:cs="Arial"/>
          <w:sz w:val="16"/>
          <w:szCs w:val="16"/>
        </w:rPr>
      </w:pPr>
      <w:bookmarkStart w:id="5" w:name="_Hlk107385637"/>
    </w:p>
    <w:bookmarkEnd w:id="5"/>
    <w:p w14:paraId="33D30ADA" w14:textId="77777777" w:rsidR="002D6E00" w:rsidRPr="008270B7" w:rsidRDefault="002D6E00" w:rsidP="008270B7">
      <w:pPr>
        <w:tabs>
          <w:tab w:val="left" w:pos="720"/>
          <w:tab w:val="left" w:pos="1064"/>
          <w:tab w:val="left" w:pos="2057"/>
        </w:tabs>
        <w:ind w:right="49"/>
        <w:jc w:val="both"/>
        <w:rPr>
          <w:rFonts w:cs="Arial"/>
          <w:sz w:val="16"/>
          <w:szCs w:val="16"/>
          <w:lang w:val="es-MX"/>
        </w:rPr>
      </w:pPr>
      <w:r w:rsidRPr="008270B7">
        <w:rPr>
          <w:rFonts w:cs="Arial"/>
          <w:sz w:val="16"/>
          <w:szCs w:val="16"/>
        </w:rPr>
        <w:t>1.6.3.3. Tomar en cuenta el apetito de riesgo establecido por la Junta Directiva de la entidad aseguradora, de manera que las condiciones del programa de reaseguro se ajusten a esa directriz.</w:t>
      </w:r>
    </w:p>
    <w:p w14:paraId="25CE5888" w14:textId="77777777" w:rsidR="009A22D9" w:rsidRPr="008270B7" w:rsidRDefault="009A22D9" w:rsidP="008270B7">
      <w:pPr>
        <w:tabs>
          <w:tab w:val="left" w:pos="720"/>
        </w:tabs>
        <w:jc w:val="both"/>
        <w:rPr>
          <w:rFonts w:cs="Arial"/>
          <w:sz w:val="16"/>
          <w:szCs w:val="16"/>
          <w:lang w:val="es-MX"/>
        </w:rPr>
      </w:pPr>
    </w:p>
    <w:p w14:paraId="78271678" w14:textId="77777777" w:rsidR="009A22D9" w:rsidRPr="008270B7" w:rsidRDefault="009A22D9" w:rsidP="008270B7">
      <w:pPr>
        <w:tabs>
          <w:tab w:val="left" w:pos="720"/>
        </w:tabs>
        <w:jc w:val="both"/>
        <w:rPr>
          <w:rFonts w:cs="Arial"/>
          <w:sz w:val="16"/>
          <w:szCs w:val="16"/>
        </w:rPr>
        <w:sectPr w:rsidR="009A22D9" w:rsidRPr="008270B7" w:rsidSect="002D6E00">
          <w:headerReference w:type="first" r:id="rId34"/>
          <w:footerReference w:type="first" r:id="rId35"/>
          <w:pgSz w:w="12240" w:h="18720" w:code="257"/>
          <w:pgMar w:top="1417" w:right="1701" w:bottom="1417" w:left="1701" w:header="709" w:footer="865" w:gutter="0"/>
          <w:pgNumType w:start="6"/>
          <w:cols w:space="708"/>
          <w:titlePg/>
          <w:docGrid w:linePitch="360"/>
        </w:sectPr>
      </w:pPr>
    </w:p>
    <w:p w14:paraId="466DACC8"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lastRenderedPageBreak/>
        <w:t>1.6.4. Condiciones de los contratos</w:t>
      </w:r>
    </w:p>
    <w:p w14:paraId="788A5409" w14:textId="77777777" w:rsidR="00AE4F53" w:rsidRPr="008270B7" w:rsidRDefault="00AE4F53" w:rsidP="008270B7">
      <w:pPr>
        <w:tabs>
          <w:tab w:val="left" w:pos="720"/>
        </w:tabs>
        <w:jc w:val="both"/>
        <w:rPr>
          <w:rFonts w:cs="Arial"/>
          <w:color w:val="000000" w:themeColor="text1"/>
          <w:sz w:val="16"/>
          <w:szCs w:val="16"/>
        </w:rPr>
      </w:pPr>
    </w:p>
    <w:p w14:paraId="6DC6E63C"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1.6.4.1. Reglas generales </w:t>
      </w:r>
    </w:p>
    <w:p w14:paraId="027B8D80" w14:textId="77777777" w:rsidR="00AE4F53" w:rsidRPr="008270B7" w:rsidRDefault="00AE4F53" w:rsidP="008270B7">
      <w:pPr>
        <w:tabs>
          <w:tab w:val="left" w:pos="720"/>
        </w:tabs>
        <w:jc w:val="both"/>
        <w:rPr>
          <w:rFonts w:cs="Arial"/>
          <w:color w:val="000000" w:themeColor="text1"/>
          <w:sz w:val="16"/>
          <w:szCs w:val="16"/>
        </w:rPr>
      </w:pPr>
    </w:p>
    <w:p w14:paraId="58F02B29"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Los contratos de reaseguro y las notas de cobertura suscritos por los representantes legales de las entidades aseguradoras cedentes y los apoderados de los </w:t>
      </w:r>
      <w:proofErr w:type="gramStart"/>
      <w:r w:rsidRPr="008270B7">
        <w:rPr>
          <w:rFonts w:cs="Arial"/>
          <w:color w:val="000000" w:themeColor="text1"/>
          <w:sz w:val="16"/>
          <w:szCs w:val="16"/>
        </w:rPr>
        <w:t>reaseguradores,</w:t>
      </w:r>
      <w:proofErr w:type="gramEnd"/>
      <w:r w:rsidRPr="008270B7">
        <w:rPr>
          <w:rFonts w:cs="Arial"/>
          <w:color w:val="000000" w:themeColor="text1"/>
          <w:sz w:val="16"/>
          <w:szCs w:val="16"/>
        </w:rPr>
        <w:t xml:space="preserve"> se mantendrán a disposición de la SFC, en las propias entidades aseguradoras y reaseguradoras.</w:t>
      </w:r>
    </w:p>
    <w:p w14:paraId="10B49E90" w14:textId="77777777" w:rsidR="00AE4F53" w:rsidRPr="008270B7" w:rsidRDefault="00AE4F53" w:rsidP="008270B7">
      <w:pPr>
        <w:tabs>
          <w:tab w:val="left" w:pos="720"/>
        </w:tabs>
        <w:jc w:val="both"/>
        <w:rPr>
          <w:rFonts w:cs="Arial"/>
          <w:color w:val="000000" w:themeColor="text1"/>
          <w:sz w:val="16"/>
          <w:szCs w:val="16"/>
        </w:rPr>
      </w:pPr>
    </w:p>
    <w:p w14:paraId="7C33BC8C"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Cuando las entidades aseguradoras y reaseguradoras registren las operaciones de reaseguro que realizan, deben especificar con precisión las condiciones de cada uno de los riesgos cedidos y aceptados y, la fecha de formalización de cada operación.</w:t>
      </w:r>
    </w:p>
    <w:p w14:paraId="67D53693"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Salvo pacto en contrario, el pago de las obligaciones derivadas de los contratos de reaseguro automático proporcional debe efectuarse dentro de los 90 días corrientes a la fecha de cierre trimestral. </w:t>
      </w:r>
    </w:p>
    <w:p w14:paraId="799B9F02"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p>
    <w:p w14:paraId="6230085C" w14:textId="77777777" w:rsidR="00AE4F53" w:rsidRPr="008270B7" w:rsidRDefault="00AE4F53" w:rsidP="008270B7">
      <w:pPr>
        <w:tabs>
          <w:tab w:val="left" w:pos="720"/>
          <w:tab w:val="left" w:pos="1064"/>
          <w:tab w:val="left" w:pos="2057"/>
        </w:tabs>
        <w:ind w:right="51"/>
        <w:jc w:val="both"/>
        <w:rPr>
          <w:rFonts w:cs="Arial"/>
          <w:color w:val="000000" w:themeColor="text1"/>
          <w:sz w:val="16"/>
          <w:szCs w:val="16"/>
        </w:rPr>
      </w:pPr>
      <w:r w:rsidRPr="008270B7">
        <w:rPr>
          <w:rFonts w:cs="Arial"/>
          <w:color w:val="000000" w:themeColor="text1"/>
          <w:sz w:val="16"/>
          <w:szCs w:val="16"/>
        </w:rPr>
        <w:t>Las entidades aseguradoras al aceptar notas de cobertura suscritas por corredoras de reaseguros deben verificar que las mismas cuenten con autorización expresa para ello por parte del reasegurador.</w:t>
      </w:r>
    </w:p>
    <w:p w14:paraId="67BD9C58" w14:textId="77777777" w:rsidR="00AE4F53" w:rsidRPr="008270B7" w:rsidRDefault="00AE4F53" w:rsidP="008270B7">
      <w:pPr>
        <w:tabs>
          <w:tab w:val="left" w:pos="720"/>
          <w:tab w:val="left" w:pos="1064"/>
          <w:tab w:val="left" w:pos="2057"/>
        </w:tabs>
        <w:ind w:right="51"/>
        <w:jc w:val="both"/>
        <w:rPr>
          <w:rFonts w:cs="Arial"/>
          <w:color w:val="000000" w:themeColor="text1"/>
          <w:sz w:val="16"/>
          <w:szCs w:val="16"/>
        </w:rPr>
      </w:pPr>
    </w:p>
    <w:p w14:paraId="7023BD86" w14:textId="77777777" w:rsidR="00AE4F53" w:rsidRPr="008270B7" w:rsidRDefault="00AE4F53" w:rsidP="008270B7">
      <w:pPr>
        <w:tabs>
          <w:tab w:val="left" w:pos="720"/>
          <w:tab w:val="left" w:pos="1064"/>
          <w:tab w:val="left" w:pos="2057"/>
        </w:tabs>
        <w:ind w:right="51"/>
        <w:jc w:val="both"/>
        <w:rPr>
          <w:rFonts w:cs="Arial"/>
          <w:color w:val="000000" w:themeColor="text1"/>
          <w:sz w:val="16"/>
          <w:szCs w:val="16"/>
        </w:rPr>
      </w:pPr>
      <w:r w:rsidRPr="008270B7">
        <w:rPr>
          <w:rFonts w:cs="Arial"/>
          <w:color w:val="000000" w:themeColor="text1"/>
          <w:sz w:val="16"/>
          <w:szCs w:val="16"/>
        </w:rPr>
        <w:t xml:space="preserve">No obstante, previo al inicio de la vigencia del contrato de reaseguro, la entidad aseguradora debe contar cuando menos con la confirmación por cualquier medio de la cobertura por parte del reasegurador. La formalización de este respaldo se debe realizar dentro del mes siguiente a la iniciación de la vigencia del respectivo acuerdo.   </w:t>
      </w:r>
    </w:p>
    <w:p w14:paraId="262AAA8D" w14:textId="77777777" w:rsidR="00AE4F53" w:rsidRPr="008270B7" w:rsidRDefault="00AE4F53" w:rsidP="008270B7">
      <w:pPr>
        <w:tabs>
          <w:tab w:val="left" w:pos="720"/>
          <w:tab w:val="left" w:pos="1064"/>
          <w:tab w:val="left" w:pos="2057"/>
        </w:tabs>
        <w:ind w:right="51"/>
        <w:jc w:val="both"/>
        <w:rPr>
          <w:rFonts w:cs="Arial"/>
          <w:color w:val="000000" w:themeColor="text1"/>
          <w:sz w:val="16"/>
          <w:szCs w:val="16"/>
        </w:rPr>
      </w:pPr>
    </w:p>
    <w:p w14:paraId="4DDDBA37"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1.6.4.2. Reglas particulares aplicables al ramo de riesgos laborales</w:t>
      </w:r>
    </w:p>
    <w:p w14:paraId="4E3DA566" w14:textId="77777777" w:rsidR="00AE4F53" w:rsidRPr="008270B7" w:rsidRDefault="00AE4F53" w:rsidP="008270B7">
      <w:pPr>
        <w:tabs>
          <w:tab w:val="left" w:pos="720"/>
        </w:tabs>
        <w:jc w:val="both"/>
        <w:rPr>
          <w:rFonts w:cs="Arial"/>
          <w:color w:val="000000" w:themeColor="text1"/>
          <w:sz w:val="16"/>
          <w:szCs w:val="16"/>
        </w:rPr>
      </w:pPr>
    </w:p>
    <w:p w14:paraId="2DFF1698" w14:textId="77777777" w:rsidR="00AE4F53" w:rsidRPr="008270B7" w:rsidRDefault="00AE4F53" w:rsidP="008270B7">
      <w:pPr>
        <w:tabs>
          <w:tab w:val="left" w:pos="720"/>
        </w:tabs>
        <w:jc w:val="both"/>
        <w:rPr>
          <w:rFonts w:cs="Arial"/>
          <w:sz w:val="16"/>
          <w:szCs w:val="16"/>
        </w:rPr>
      </w:pPr>
      <w:r w:rsidRPr="008270B7">
        <w:rPr>
          <w:rFonts w:cs="Arial"/>
          <w:sz w:val="16"/>
          <w:szCs w:val="16"/>
        </w:rPr>
        <w:t>1.6.4.2.1. En la contratación de las coberturas de reaseguro de que trata el artículo 2.31.4.6.1 del Decreto 2555 de 2010, las entidades aseguradoras que explotan el ramo de riesgos laborales deben aplicar los siguientes parámetros:</w:t>
      </w:r>
    </w:p>
    <w:p w14:paraId="2E128535" w14:textId="77777777" w:rsidR="00AE4F53" w:rsidRPr="008270B7" w:rsidRDefault="00AE4F53" w:rsidP="008270B7">
      <w:pPr>
        <w:tabs>
          <w:tab w:val="left" w:pos="720"/>
        </w:tabs>
        <w:jc w:val="both"/>
        <w:rPr>
          <w:rFonts w:cs="Arial"/>
          <w:sz w:val="16"/>
          <w:szCs w:val="16"/>
        </w:rPr>
      </w:pPr>
    </w:p>
    <w:p w14:paraId="178D20BE" w14:textId="77777777" w:rsidR="00AE4F53" w:rsidRPr="008270B7" w:rsidRDefault="00AE4F53" w:rsidP="008270B7">
      <w:pPr>
        <w:tabs>
          <w:tab w:val="left" w:pos="720"/>
        </w:tabs>
        <w:jc w:val="both"/>
        <w:rPr>
          <w:rFonts w:cs="Arial"/>
          <w:sz w:val="16"/>
          <w:szCs w:val="16"/>
        </w:rPr>
      </w:pPr>
      <w:r w:rsidRPr="008270B7">
        <w:rPr>
          <w:rFonts w:cs="Arial"/>
          <w:sz w:val="16"/>
          <w:szCs w:val="16"/>
        </w:rPr>
        <w:t xml:space="preserve">Las entidades aseguradoras deben determinar aquellos eventos de baja frecuencia y alta severidad que pueden dar lugar a siniestros catastróficos y atípicos, según corresponda a las coberturas del seguro. Las entidades aseguradoras deben contemplar como mínimo los eventos de terrorismo, incendio, pandemias, explosiones por accidentes industriales, terremoto, así como aquellos eventos a los cuales se encuentre expuesta, según la composición de su cartera. Las entidades aseguradoras deben considerar como mínimo los siguientes criterios para la selección de los demás eventos: i) ubicación geográfica de los afiliados; </w:t>
      </w:r>
      <w:proofErr w:type="spellStart"/>
      <w:r w:rsidRPr="008270B7">
        <w:rPr>
          <w:rFonts w:cs="Arial"/>
          <w:sz w:val="16"/>
          <w:szCs w:val="16"/>
        </w:rPr>
        <w:t>ii</w:t>
      </w:r>
      <w:proofErr w:type="spellEnd"/>
      <w:r w:rsidRPr="008270B7">
        <w:rPr>
          <w:rFonts w:cs="Arial"/>
          <w:sz w:val="16"/>
          <w:szCs w:val="16"/>
        </w:rPr>
        <w:t xml:space="preserve">) las características de distribución de los afiliados entre las diferentes clases de riesgo y actividades económicas, </w:t>
      </w:r>
      <w:proofErr w:type="spellStart"/>
      <w:r w:rsidRPr="008270B7">
        <w:rPr>
          <w:rFonts w:cs="Arial"/>
          <w:sz w:val="16"/>
          <w:szCs w:val="16"/>
        </w:rPr>
        <w:t>iii</w:t>
      </w:r>
      <w:proofErr w:type="spellEnd"/>
      <w:r w:rsidRPr="008270B7">
        <w:rPr>
          <w:rFonts w:cs="Arial"/>
          <w:sz w:val="16"/>
          <w:szCs w:val="16"/>
        </w:rPr>
        <w:t xml:space="preserve">) ingreso base de cotización de los afiliados y </w:t>
      </w:r>
      <w:proofErr w:type="spellStart"/>
      <w:r w:rsidRPr="008270B7">
        <w:rPr>
          <w:rFonts w:cs="Arial"/>
          <w:sz w:val="16"/>
          <w:szCs w:val="16"/>
        </w:rPr>
        <w:t>iv</w:t>
      </w:r>
      <w:proofErr w:type="spellEnd"/>
      <w:r w:rsidRPr="008270B7">
        <w:rPr>
          <w:rFonts w:cs="Arial"/>
          <w:sz w:val="16"/>
          <w:szCs w:val="16"/>
        </w:rPr>
        <w:t>) hora de ocurrencia del siniestro.</w:t>
      </w:r>
    </w:p>
    <w:p w14:paraId="1C2DCE60" w14:textId="77777777" w:rsidR="00AE4F53" w:rsidRPr="008270B7" w:rsidRDefault="00AE4F53" w:rsidP="008270B7">
      <w:pPr>
        <w:tabs>
          <w:tab w:val="left" w:pos="720"/>
        </w:tabs>
        <w:jc w:val="both"/>
        <w:rPr>
          <w:rFonts w:cs="Arial"/>
          <w:sz w:val="16"/>
          <w:szCs w:val="16"/>
        </w:rPr>
      </w:pPr>
    </w:p>
    <w:p w14:paraId="2452F8F1" w14:textId="77777777" w:rsidR="00AE4F53" w:rsidRPr="008270B7" w:rsidRDefault="00AE4F53" w:rsidP="008270B7">
      <w:pPr>
        <w:tabs>
          <w:tab w:val="left" w:pos="720"/>
        </w:tabs>
        <w:jc w:val="both"/>
        <w:rPr>
          <w:rFonts w:cs="Arial"/>
          <w:color w:val="000000" w:themeColor="text1"/>
          <w:sz w:val="16"/>
          <w:szCs w:val="16"/>
          <w:lang w:val="es-CO"/>
        </w:rPr>
      </w:pPr>
      <w:r w:rsidRPr="008270B7">
        <w:rPr>
          <w:rFonts w:cs="Arial"/>
          <w:sz w:val="16"/>
          <w:szCs w:val="16"/>
        </w:rPr>
        <w:t xml:space="preserve">Las entidades aseguradoras deben modelar los diferentes eventos identificados para la determinación de las condiciones de los contratos de reaseguro tales como: i) la definición de evento catastrófico y atípico, </w:t>
      </w:r>
      <w:proofErr w:type="spellStart"/>
      <w:r w:rsidRPr="008270B7">
        <w:rPr>
          <w:rFonts w:cs="Arial"/>
          <w:sz w:val="16"/>
          <w:szCs w:val="16"/>
        </w:rPr>
        <w:t>ii</w:t>
      </w:r>
      <w:proofErr w:type="spellEnd"/>
      <w:r w:rsidRPr="008270B7">
        <w:rPr>
          <w:rFonts w:cs="Arial"/>
          <w:sz w:val="16"/>
          <w:szCs w:val="16"/>
        </w:rPr>
        <w:t xml:space="preserve">) los elementos mínimos de contratación incluyendo la capacidad, prioridad, </w:t>
      </w:r>
      <w:proofErr w:type="spellStart"/>
      <w:r w:rsidRPr="008270B7">
        <w:rPr>
          <w:rFonts w:cs="Arial"/>
          <w:sz w:val="16"/>
          <w:szCs w:val="16"/>
        </w:rPr>
        <w:t>reinstalamentos</w:t>
      </w:r>
      <w:proofErr w:type="spellEnd"/>
      <w:r w:rsidRPr="008270B7">
        <w:rPr>
          <w:rFonts w:cs="Arial"/>
          <w:sz w:val="16"/>
          <w:szCs w:val="16"/>
        </w:rPr>
        <w:t xml:space="preserve">, capas, límites por evento y </w:t>
      </w:r>
      <w:proofErr w:type="spellStart"/>
      <w:r w:rsidRPr="008270B7">
        <w:rPr>
          <w:rFonts w:cs="Arial"/>
          <w:sz w:val="16"/>
          <w:szCs w:val="16"/>
        </w:rPr>
        <w:t>iii</w:t>
      </w:r>
      <w:proofErr w:type="spellEnd"/>
      <w:r w:rsidRPr="008270B7">
        <w:rPr>
          <w:rFonts w:cs="Arial"/>
          <w:sz w:val="16"/>
          <w:szCs w:val="16"/>
        </w:rPr>
        <w:t>) límites por afiliado en un evento.</w:t>
      </w:r>
      <w:r w:rsidRPr="008270B7">
        <w:rPr>
          <w:rFonts w:cs="Arial"/>
          <w:sz w:val="16"/>
          <w:szCs w:val="16"/>
          <w:lang w:val="es-CO"/>
        </w:rPr>
        <w:t xml:space="preserve"> </w:t>
      </w:r>
      <w:proofErr w:type="gramStart"/>
      <w:r w:rsidRPr="008270B7">
        <w:rPr>
          <w:rFonts w:cs="Arial"/>
          <w:sz w:val="16"/>
          <w:szCs w:val="16"/>
          <w:lang w:val="es-CO"/>
        </w:rPr>
        <w:t>En caso que</w:t>
      </w:r>
      <w:proofErr w:type="gramEnd"/>
      <w:r w:rsidRPr="008270B7">
        <w:rPr>
          <w:rFonts w:cs="Arial"/>
          <w:sz w:val="16"/>
          <w:szCs w:val="16"/>
          <w:lang w:val="es-CO"/>
        </w:rPr>
        <w:t xml:space="preserve"> en los contratos de reaseguro se pacten exclusiones frente a prestaciones o eventos que están amparados bajo el contrato de seguro, la entidad aseguradora debe modelar y cuantificar la pérdida esperada por esas prestaciones o eventos excluidos. </w:t>
      </w:r>
      <w:r w:rsidRPr="008270B7">
        <w:rPr>
          <w:rFonts w:cs="Arial"/>
          <w:color w:val="000000" w:themeColor="text1"/>
          <w:sz w:val="16"/>
          <w:szCs w:val="16"/>
          <w:lang w:val="es-CO"/>
        </w:rPr>
        <w:t>La entidad aseguradora debe documentar el sustento técnico empleado para establecer las definiciones de evento catastrófico y siniestro atípico.</w:t>
      </w:r>
    </w:p>
    <w:p w14:paraId="1E24F4A5" w14:textId="77777777" w:rsidR="00AE4F53" w:rsidRPr="008270B7" w:rsidRDefault="00AE4F53" w:rsidP="008270B7">
      <w:pPr>
        <w:tabs>
          <w:tab w:val="left" w:pos="720"/>
        </w:tabs>
        <w:jc w:val="both"/>
        <w:rPr>
          <w:rFonts w:cs="Arial"/>
          <w:sz w:val="16"/>
          <w:szCs w:val="16"/>
          <w:lang w:val="es-CO"/>
        </w:rPr>
      </w:pPr>
    </w:p>
    <w:p w14:paraId="0ACA0F2C" w14:textId="77777777" w:rsidR="00AE4F53" w:rsidRPr="008270B7" w:rsidRDefault="00AE4F53" w:rsidP="008270B7">
      <w:pPr>
        <w:tabs>
          <w:tab w:val="left" w:pos="720"/>
        </w:tabs>
        <w:jc w:val="both"/>
        <w:rPr>
          <w:rFonts w:cs="Arial"/>
          <w:sz w:val="16"/>
          <w:szCs w:val="16"/>
          <w:lang w:val="es-CO"/>
        </w:rPr>
      </w:pPr>
      <w:r w:rsidRPr="008270B7">
        <w:rPr>
          <w:rFonts w:cs="Arial"/>
          <w:sz w:val="16"/>
          <w:szCs w:val="16"/>
          <w:lang w:val="es-CO"/>
        </w:rPr>
        <w:t>Las entidades aseguradoras deben hacer seguimiento a la capacidad de los contratos de reaseguro y contar con recursos disponibles para reinstalar su capacidad, según su apetito de riesgo y políticas de reaseguro adoptadas.</w:t>
      </w:r>
    </w:p>
    <w:p w14:paraId="04B4CB6D" w14:textId="77777777" w:rsidR="00AE4F53" w:rsidRPr="008270B7" w:rsidRDefault="00AE4F53" w:rsidP="008270B7">
      <w:pPr>
        <w:tabs>
          <w:tab w:val="left" w:pos="720"/>
        </w:tabs>
        <w:jc w:val="both"/>
        <w:rPr>
          <w:rFonts w:cs="Arial"/>
          <w:color w:val="000000" w:themeColor="text1"/>
          <w:sz w:val="16"/>
          <w:szCs w:val="16"/>
        </w:rPr>
      </w:pPr>
    </w:p>
    <w:p w14:paraId="26ECD02B" w14:textId="77777777" w:rsidR="00AE4F53" w:rsidRPr="008270B7" w:rsidRDefault="00AE4F53" w:rsidP="008270B7">
      <w:pPr>
        <w:tabs>
          <w:tab w:val="left" w:pos="720"/>
        </w:tabs>
        <w:jc w:val="both"/>
        <w:rPr>
          <w:rFonts w:cs="Arial"/>
          <w:color w:val="000000" w:themeColor="text1"/>
          <w:sz w:val="16"/>
          <w:szCs w:val="16"/>
        </w:rPr>
      </w:pPr>
      <w:r w:rsidRPr="008270B7">
        <w:rPr>
          <w:rFonts w:cs="Arial"/>
          <w:sz w:val="16"/>
          <w:szCs w:val="16"/>
        </w:rPr>
        <w:t xml:space="preserve">1.6.4.2.1.1. </w:t>
      </w:r>
      <w:r w:rsidRPr="008270B7">
        <w:rPr>
          <w:rFonts w:cs="Arial"/>
          <w:color w:val="000000" w:themeColor="text1"/>
          <w:sz w:val="16"/>
          <w:szCs w:val="16"/>
        </w:rPr>
        <w:t>En la modelación de los diferentes eventos se deben emplear como mínimo las siguientes variables, siempre que resulten aplicables y la entidad aseguradora disponga de información sobre las mismas:</w:t>
      </w:r>
    </w:p>
    <w:p w14:paraId="65FAC49B" w14:textId="77777777" w:rsidR="00AE4F53" w:rsidRPr="008270B7" w:rsidRDefault="00AE4F53" w:rsidP="008270B7">
      <w:pPr>
        <w:tabs>
          <w:tab w:val="left" w:pos="720"/>
        </w:tabs>
        <w:jc w:val="both"/>
        <w:rPr>
          <w:rFonts w:cs="Arial"/>
          <w:color w:val="000000" w:themeColor="text1"/>
          <w:sz w:val="16"/>
          <w:szCs w:val="16"/>
        </w:rPr>
      </w:pPr>
    </w:p>
    <w:p w14:paraId="605556FB" w14:textId="77777777" w:rsidR="00AE4F53" w:rsidRPr="008270B7" w:rsidRDefault="00AE4F53" w:rsidP="008270B7">
      <w:pPr>
        <w:tabs>
          <w:tab w:val="left" w:pos="720"/>
        </w:tabs>
        <w:jc w:val="both"/>
        <w:rPr>
          <w:rFonts w:cs="Arial"/>
          <w:sz w:val="16"/>
          <w:szCs w:val="16"/>
        </w:rPr>
      </w:pPr>
      <w:r w:rsidRPr="008270B7">
        <w:rPr>
          <w:rFonts w:cs="Arial"/>
          <w:sz w:val="16"/>
          <w:szCs w:val="16"/>
        </w:rPr>
        <w:t>a. Actividad económica de los afiliados.</w:t>
      </w:r>
    </w:p>
    <w:p w14:paraId="44F6D1DF" w14:textId="77777777" w:rsidR="00AE4F53" w:rsidRPr="008270B7" w:rsidRDefault="00AE4F53" w:rsidP="008270B7">
      <w:pPr>
        <w:tabs>
          <w:tab w:val="left" w:pos="720"/>
        </w:tabs>
        <w:jc w:val="both"/>
        <w:rPr>
          <w:rFonts w:cs="Arial"/>
          <w:sz w:val="16"/>
          <w:szCs w:val="16"/>
        </w:rPr>
      </w:pPr>
      <w:r w:rsidRPr="008270B7">
        <w:rPr>
          <w:rFonts w:cs="Arial"/>
          <w:sz w:val="16"/>
          <w:szCs w:val="16"/>
        </w:rPr>
        <w:t>b. Ingreso base de cotización de los afiliados.</w:t>
      </w:r>
    </w:p>
    <w:p w14:paraId="4BDE2710" w14:textId="77777777" w:rsidR="00AE4F53" w:rsidRPr="008270B7" w:rsidRDefault="00AE4F53" w:rsidP="008270B7">
      <w:pPr>
        <w:tabs>
          <w:tab w:val="left" w:pos="720"/>
        </w:tabs>
        <w:jc w:val="both"/>
        <w:rPr>
          <w:rFonts w:cs="Arial"/>
          <w:sz w:val="16"/>
          <w:szCs w:val="16"/>
        </w:rPr>
      </w:pPr>
      <w:r w:rsidRPr="008270B7">
        <w:rPr>
          <w:rFonts w:cs="Arial"/>
          <w:sz w:val="16"/>
          <w:szCs w:val="16"/>
        </w:rPr>
        <w:t>c. Edad de los afiliados.</w:t>
      </w:r>
    </w:p>
    <w:p w14:paraId="248D5C7E" w14:textId="77777777" w:rsidR="00AE4F53" w:rsidRPr="008270B7" w:rsidRDefault="00AE4F53" w:rsidP="008270B7">
      <w:pPr>
        <w:tabs>
          <w:tab w:val="left" w:pos="720"/>
        </w:tabs>
        <w:jc w:val="both"/>
        <w:rPr>
          <w:rFonts w:cs="Arial"/>
          <w:sz w:val="16"/>
          <w:szCs w:val="16"/>
        </w:rPr>
      </w:pPr>
      <w:r w:rsidRPr="008270B7">
        <w:rPr>
          <w:rFonts w:cs="Arial"/>
          <w:sz w:val="16"/>
          <w:szCs w:val="16"/>
        </w:rPr>
        <w:t>d. Ubicación geográfica de los centros de trabajo.</w:t>
      </w:r>
    </w:p>
    <w:p w14:paraId="5E2212C8" w14:textId="77777777" w:rsidR="00AE4F53" w:rsidRPr="008270B7" w:rsidRDefault="00AE4F53" w:rsidP="008270B7">
      <w:pPr>
        <w:tabs>
          <w:tab w:val="left" w:pos="720"/>
        </w:tabs>
        <w:jc w:val="both"/>
        <w:rPr>
          <w:rFonts w:cs="Arial"/>
          <w:sz w:val="16"/>
          <w:szCs w:val="16"/>
        </w:rPr>
      </w:pPr>
      <w:r w:rsidRPr="008270B7">
        <w:rPr>
          <w:rFonts w:cs="Arial"/>
          <w:sz w:val="16"/>
          <w:szCs w:val="16"/>
        </w:rPr>
        <w:t>e. Número promedio de empleados que permanezcan en el centro de trabajo durante la mayor parte de su jornada laboral.</w:t>
      </w:r>
    </w:p>
    <w:p w14:paraId="5C3767A8" w14:textId="77777777" w:rsidR="00AE4F53" w:rsidRPr="008270B7" w:rsidRDefault="00AE4F53" w:rsidP="008270B7">
      <w:pPr>
        <w:tabs>
          <w:tab w:val="left" w:pos="720"/>
        </w:tabs>
        <w:jc w:val="both"/>
        <w:rPr>
          <w:rFonts w:cs="Arial"/>
          <w:color w:val="000000" w:themeColor="text1"/>
          <w:sz w:val="16"/>
          <w:szCs w:val="16"/>
        </w:rPr>
      </w:pPr>
      <w:r w:rsidRPr="008270B7">
        <w:rPr>
          <w:rFonts w:cs="Arial"/>
          <w:sz w:val="16"/>
          <w:szCs w:val="16"/>
        </w:rPr>
        <w:t xml:space="preserve">f. </w:t>
      </w:r>
      <w:r w:rsidRPr="008270B7">
        <w:rPr>
          <w:rFonts w:cs="Arial"/>
          <w:color w:val="000000" w:themeColor="text1"/>
          <w:sz w:val="16"/>
          <w:szCs w:val="16"/>
        </w:rPr>
        <w:t>En la modelación de los eventos de terrorismo y terremoto deben incluirse las variables relevantes contenidas en el Formato 506 (Proforma F.3000-87), o el que resulte aplicable.</w:t>
      </w:r>
    </w:p>
    <w:p w14:paraId="5490928A" w14:textId="77777777" w:rsidR="00AE4F53" w:rsidRPr="008270B7" w:rsidRDefault="00AE4F53" w:rsidP="008270B7">
      <w:pPr>
        <w:tabs>
          <w:tab w:val="left" w:pos="720"/>
        </w:tabs>
        <w:jc w:val="both"/>
        <w:rPr>
          <w:rFonts w:cs="Arial"/>
          <w:sz w:val="16"/>
          <w:szCs w:val="16"/>
        </w:rPr>
      </w:pPr>
      <w:r w:rsidRPr="008270B7">
        <w:rPr>
          <w:rFonts w:cs="Arial"/>
          <w:sz w:val="16"/>
          <w:szCs w:val="16"/>
        </w:rPr>
        <w:t>g. Velocidad de propagación de la enfermedad.</w:t>
      </w:r>
    </w:p>
    <w:p w14:paraId="4952914C" w14:textId="77777777" w:rsidR="00AE4F53" w:rsidRPr="008270B7" w:rsidRDefault="00AE4F53" w:rsidP="008270B7">
      <w:pPr>
        <w:tabs>
          <w:tab w:val="left" w:pos="720"/>
        </w:tabs>
        <w:jc w:val="both"/>
        <w:rPr>
          <w:rFonts w:cs="Arial"/>
          <w:sz w:val="16"/>
          <w:szCs w:val="16"/>
        </w:rPr>
      </w:pPr>
      <w:r w:rsidRPr="008270B7">
        <w:rPr>
          <w:rFonts w:cs="Arial"/>
          <w:sz w:val="16"/>
          <w:szCs w:val="16"/>
        </w:rPr>
        <w:t xml:space="preserve">h. Tasa contagio de la enfermedad. </w:t>
      </w:r>
    </w:p>
    <w:p w14:paraId="7F9CF04A" w14:textId="77777777" w:rsidR="00AE4F53" w:rsidRPr="008270B7" w:rsidRDefault="00AE4F53" w:rsidP="008270B7">
      <w:pPr>
        <w:tabs>
          <w:tab w:val="left" w:pos="720"/>
        </w:tabs>
        <w:jc w:val="both"/>
        <w:rPr>
          <w:rFonts w:cs="Arial"/>
          <w:sz w:val="16"/>
          <w:szCs w:val="16"/>
        </w:rPr>
      </w:pPr>
      <w:r w:rsidRPr="008270B7">
        <w:rPr>
          <w:rFonts w:cs="Arial"/>
          <w:sz w:val="16"/>
          <w:szCs w:val="16"/>
        </w:rPr>
        <w:t>i. Tasa de recuperación de los enfermos.</w:t>
      </w:r>
    </w:p>
    <w:p w14:paraId="42BB455D" w14:textId="77777777" w:rsidR="00AE4F53" w:rsidRPr="008270B7" w:rsidRDefault="00AE4F53" w:rsidP="008270B7">
      <w:pPr>
        <w:tabs>
          <w:tab w:val="left" w:pos="720"/>
        </w:tabs>
        <w:jc w:val="both"/>
        <w:rPr>
          <w:rFonts w:cs="Arial"/>
          <w:sz w:val="16"/>
          <w:szCs w:val="16"/>
        </w:rPr>
      </w:pPr>
      <w:r w:rsidRPr="008270B7">
        <w:rPr>
          <w:rFonts w:cs="Arial"/>
          <w:sz w:val="16"/>
          <w:szCs w:val="16"/>
        </w:rPr>
        <w:t>j. Velocidad de recuperación de los enfermos.</w:t>
      </w:r>
    </w:p>
    <w:p w14:paraId="2560CBA4" w14:textId="77777777" w:rsidR="00AE4F53" w:rsidRPr="008270B7" w:rsidRDefault="00AE4F53" w:rsidP="008270B7">
      <w:pPr>
        <w:tabs>
          <w:tab w:val="left" w:pos="720"/>
        </w:tabs>
        <w:jc w:val="both"/>
        <w:rPr>
          <w:rFonts w:cs="Arial"/>
          <w:sz w:val="16"/>
          <w:szCs w:val="16"/>
        </w:rPr>
      </w:pPr>
      <w:r w:rsidRPr="008270B7">
        <w:rPr>
          <w:rFonts w:cs="Arial"/>
          <w:sz w:val="16"/>
          <w:szCs w:val="16"/>
        </w:rPr>
        <w:t xml:space="preserve">k. Periodo de incubación de los virus. </w:t>
      </w:r>
    </w:p>
    <w:p w14:paraId="0D7117AA" w14:textId="77777777" w:rsidR="00AE4F53" w:rsidRPr="008270B7" w:rsidRDefault="00AE4F53" w:rsidP="008270B7">
      <w:pPr>
        <w:tabs>
          <w:tab w:val="left" w:pos="720"/>
        </w:tabs>
        <w:jc w:val="both"/>
        <w:rPr>
          <w:rFonts w:cs="Arial"/>
          <w:sz w:val="16"/>
          <w:szCs w:val="16"/>
        </w:rPr>
      </w:pPr>
      <w:r w:rsidRPr="008270B7">
        <w:rPr>
          <w:rFonts w:cs="Arial"/>
          <w:sz w:val="16"/>
          <w:szCs w:val="16"/>
        </w:rPr>
        <w:t>l. Tasa de mortalidad y de invalidez, por enfermedad.</w:t>
      </w:r>
    </w:p>
    <w:p w14:paraId="46A59A5E" w14:textId="77777777" w:rsidR="00AE4F53" w:rsidRPr="008270B7" w:rsidRDefault="00AE4F53" w:rsidP="008270B7">
      <w:pPr>
        <w:tabs>
          <w:tab w:val="left" w:pos="720"/>
        </w:tabs>
        <w:jc w:val="both"/>
        <w:rPr>
          <w:rFonts w:cs="Arial"/>
          <w:color w:val="000000" w:themeColor="text1"/>
          <w:sz w:val="16"/>
          <w:szCs w:val="16"/>
        </w:rPr>
      </w:pPr>
    </w:p>
    <w:p w14:paraId="5A1FD82C" w14:textId="77777777" w:rsidR="00AE4F53" w:rsidRPr="008270B7" w:rsidRDefault="00AE4F53" w:rsidP="008270B7">
      <w:pPr>
        <w:tabs>
          <w:tab w:val="left" w:pos="720"/>
        </w:tabs>
        <w:jc w:val="both"/>
        <w:rPr>
          <w:rFonts w:cs="Arial"/>
          <w:color w:val="000000" w:themeColor="text1"/>
          <w:sz w:val="16"/>
          <w:szCs w:val="16"/>
          <w:lang w:val="es-CO"/>
        </w:rPr>
      </w:pPr>
      <w:r w:rsidRPr="008270B7">
        <w:rPr>
          <w:rFonts w:cs="Arial"/>
          <w:color w:val="000000" w:themeColor="text1"/>
          <w:sz w:val="16"/>
          <w:szCs w:val="16"/>
        </w:rPr>
        <w:t xml:space="preserve">Las entidades aseguradoras que no cuenten con la información anteriormente </w:t>
      </w:r>
      <w:proofErr w:type="gramStart"/>
      <w:r w:rsidRPr="008270B7">
        <w:rPr>
          <w:rFonts w:cs="Arial"/>
          <w:color w:val="000000" w:themeColor="text1"/>
          <w:sz w:val="16"/>
          <w:szCs w:val="16"/>
        </w:rPr>
        <w:t>descrita,</w:t>
      </w:r>
      <w:proofErr w:type="gramEnd"/>
      <w:r w:rsidRPr="008270B7">
        <w:rPr>
          <w:rFonts w:cs="Arial"/>
          <w:color w:val="000000" w:themeColor="text1"/>
          <w:sz w:val="16"/>
          <w:szCs w:val="16"/>
        </w:rPr>
        <w:t xml:space="preserve"> deben realizar supuestos razonables con el objetivo de aproximarse a la realidad de la cartera. </w:t>
      </w:r>
      <w:r w:rsidRPr="008270B7">
        <w:rPr>
          <w:rFonts w:cs="Arial"/>
          <w:sz w:val="16"/>
          <w:szCs w:val="16"/>
        </w:rPr>
        <w:t xml:space="preserve">En el caso particular de las variables relevantes para el evento de pandemia, los supuestos deben estar basados en evidencia científica y ser validados por profesionales idóneos. </w:t>
      </w:r>
      <w:r w:rsidRPr="008270B7">
        <w:rPr>
          <w:rFonts w:cs="Arial"/>
          <w:color w:val="000000" w:themeColor="text1"/>
          <w:sz w:val="16"/>
          <w:szCs w:val="16"/>
        </w:rPr>
        <w:t>Adicionalmente, estas entidades deben desarrollar planes para la recopilación de la información necesaria para efectuar la adecuada modelación.</w:t>
      </w:r>
    </w:p>
    <w:p w14:paraId="12B4E987" w14:textId="77777777" w:rsidR="00AE4F53" w:rsidRPr="008270B7" w:rsidRDefault="00AE4F53" w:rsidP="008270B7">
      <w:pPr>
        <w:tabs>
          <w:tab w:val="left" w:pos="720"/>
        </w:tabs>
        <w:jc w:val="both"/>
        <w:rPr>
          <w:rFonts w:cs="Arial"/>
          <w:color w:val="000000" w:themeColor="text1"/>
          <w:sz w:val="16"/>
          <w:szCs w:val="16"/>
        </w:rPr>
      </w:pPr>
    </w:p>
    <w:p w14:paraId="416F95D7"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1.6.4.2.1.2 Características de los modelos empleados</w:t>
      </w:r>
    </w:p>
    <w:p w14:paraId="70D442FA" w14:textId="77777777" w:rsidR="00AE4F53" w:rsidRPr="008270B7" w:rsidRDefault="00AE4F53" w:rsidP="008270B7">
      <w:pPr>
        <w:tabs>
          <w:tab w:val="left" w:pos="720"/>
        </w:tabs>
        <w:jc w:val="both"/>
        <w:rPr>
          <w:rFonts w:cs="Arial"/>
          <w:color w:val="000000" w:themeColor="text1"/>
          <w:sz w:val="16"/>
          <w:szCs w:val="16"/>
        </w:rPr>
      </w:pPr>
    </w:p>
    <w:p w14:paraId="1A1A63EA" w14:textId="657690D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Los modelos y/o </w:t>
      </w:r>
      <w:r w:rsidR="0072189A" w:rsidRPr="008270B7">
        <w:rPr>
          <w:rFonts w:cs="Arial"/>
          <w:color w:val="000000" w:themeColor="text1"/>
          <w:sz w:val="16"/>
          <w:szCs w:val="16"/>
        </w:rPr>
        <w:t>metodologías empleadas</w:t>
      </w:r>
      <w:r w:rsidRPr="008270B7">
        <w:rPr>
          <w:rFonts w:cs="Arial"/>
          <w:color w:val="000000" w:themeColor="text1"/>
          <w:sz w:val="16"/>
          <w:szCs w:val="16"/>
        </w:rPr>
        <w:t xml:space="preserve"> por las entidades aseguradoras deben cumplir con las características de los literales del presente </w:t>
      </w:r>
      <w:proofErr w:type="spellStart"/>
      <w:r w:rsidRPr="008270B7">
        <w:rPr>
          <w:rFonts w:cs="Arial"/>
          <w:color w:val="000000" w:themeColor="text1"/>
          <w:sz w:val="16"/>
          <w:szCs w:val="16"/>
        </w:rPr>
        <w:t>subnumeral</w:t>
      </w:r>
      <w:proofErr w:type="spellEnd"/>
      <w:r w:rsidRPr="008270B7">
        <w:rPr>
          <w:rFonts w:cs="Arial"/>
          <w:color w:val="000000" w:themeColor="text1"/>
          <w:sz w:val="16"/>
          <w:szCs w:val="16"/>
        </w:rPr>
        <w:t xml:space="preserve">. El Actuario Responsable debe verificar la consistencia de los datos, supuestos y modelos empleados en la contratación de reaseguro. Las entidades aseguradoras deben comunicar a la SFC los cambios en sus modelos dentro de los 10 días hábiles siguientes a la modificación. La comunicación explicará el alcance de la modificación en el modelo, sus implicaciones e impactos. En todo caso, los cambios en los modelos únicamente serán aplicables a partir del 1 de enero del año siguiente a la adopción de la modificación, salvo instrucción particular de la SFC. </w:t>
      </w:r>
    </w:p>
    <w:p w14:paraId="0177BB7D" w14:textId="77777777" w:rsidR="00AE4F53" w:rsidRPr="008270B7" w:rsidRDefault="00AE4F53" w:rsidP="008270B7">
      <w:pPr>
        <w:tabs>
          <w:tab w:val="left" w:pos="720"/>
        </w:tabs>
        <w:jc w:val="both"/>
        <w:rPr>
          <w:rFonts w:cs="Arial"/>
          <w:color w:val="000000" w:themeColor="text1"/>
          <w:sz w:val="16"/>
          <w:szCs w:val="16"/>
        </w:rPr>
      </w:pPr>
    </w:p>
    <w:p w14:paraId="696055B7"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La entidad aseguradora puede contar con la asesoría de terceros expertos para la modelación de los eventos, lo cual no supone una delegación de su responsabilidad.</w:t>
      </w:r>
    </w:p>
    <w:p w14:paraId="2FC54D3C" w14:textId="77777777" w:rsidR="00AE4F53" w:rsidRPr="008270B7" w:rsidRDefault="00AE4F53" w:rsidP="008270B7">
      <w:pPr>
        <w:tabs>
          <w:tab w:val="left" w:pos="720"/>
        </w:tabs>
        <w:jc w:val="both"/>
        <w:rPr>
          <w:rFonts w:cs="Arial"/>
          <w:color w:val="000000" w:themeColor="text1"/>
          <w:sz w:val="16"/>
          <w:szCs w:val="16"/>
        </w:rPr>
      </w:pPr>
    </w:p>
    <w:p w14:paraId="3F30D07D" w14:textId="4F0FC07B" w:rsidR="00AE4F53" w:rsidRPr="008270B7" w:rsidRDefault="00AE4F53" w:rsidP="008270B7">
      <w:pPr>
        <w:tabs>
          <w:tab w:val="left" w:pos="720"/>
        </w:tabs>
        <w:jc w:val="both"/>
        <w:rPr>
          <w:rFonts w:cs="Arial"/>
          <w:color w:val="000000" w:themeColor="text1"/>
          <w:sz w:val="16"/>
          <w:szCs w:val="16"/>
        </w:rPr>
        <w:sectPr w:rsidR="00AE4F53" w:rsidRPr="008270B7" w:rsidSect="00761771">
          <w:headerReference w:type="default" r:id="rId36"/>
          <w:footerReference w:type="default" r:id="rId37"/>
          <w:headerReference w:type="first" r:id="rId38"/>
          <w:footerReference w:type="first" r:id="rId39"/>
          <w:pgSz w:w="12240" w:h="18720" w:code="257"/>
          <w:pgMar w:top="1417" w:right="1701" w:bottom="1417" w:left="1701" w:header="709" w:footer="865" w:gutter="0"/>
          <w:cols w:space="708"/>
          <w:titlePg/>
          <w:docGrid w:linePitch="360"/>
        </w:sectPr>
      </w:pPr>
      <w:r w:rsidRPr="008270B7">
        <w:rPr>
          <w:rFonts w:cs="Arial"/>
          <w:color w:val="000000" w:themeColor="text1"/>
          <w:sz w:val="16"/>
          <w:szCs w:val="16"/>
        </w:rPr>
        <w:t xml:space="preserve">Adicionalmente, los modelos y/o </w:t>
      </w:r>
      <w:r w:rsidR="0072189A" w:rsidRPr="008270B7">
        <w:rPr>
          <w:rFonts w:cs="Arial"/>
          <w:color w:val="000000" w:themeColor="text1"/>
          <w:sz w:val="16"/>
          <w:szCs w:val="16"/>
        </w:rPr>
        <w:t>metodologías empleadas</w:t>
      </w:r>
      <w:r w:rsidRPr="008270B7">
        <w:rPr>
          <w:rFonts w:cs="Arial"/>
          <w:color w:val="000000" w:themeColor="text1"/>
          <w:sz w:val="16"/>
          <w:szCs w:val="16"/>
        </w:rPr>
        <w:t xml:space="preserve"> deben:</w:t>
      </w:r>
    </w:p>
    <w:p w14:paraId="4EBB0F25" w14:textId="77777777" w:rsidR="00AE4F53" w:rsidRPr="008270B7" w:rsidRDefault="00AE4F53" w:rsidP="008270B7">
      <w:pPr>
        <w:pStyle w:val="Prrafodelista"/>
        <w:numPr>
          <w:ilvl w:val="0"/>
          <w:numId w:val="9"/>
        </w:numPr>
        <w:tabs>
          <w:tab w:val="left" w:pos="720"/>
        </w:tabs>
        <w:jc w:val="both"/>
        <w:rPr>
          <w:rFonts w:cs="Arial"/>
          <w:color w:val="000000" w:themeColor="text1"/>
          <w:sz w:val="16"/>
          <w:szCs w:val="16"/>
        </w:rPr>
      </w:pPr>
      <w:r w:rsidRPr="008270B7">
        <w:rPr>
          <w:rFonts w:cs="Arial"/>
          <w:color w:val="000000" w:themeColor="text1"/>
          <w:sz w:val="16"/>
          <w:szCs w:val="16"/>
        </w:rPr>
        <w:lastRenderedPageBreak/>
        <w:t>Permitir a la entidad aseguradora conocer la pérdida máxima probable de la cartera total para cada uno de los eventos. La pérdida máxima probable por evento y/o por riesgo, dependiendo del tipo de contrato de reaseguro, debe corresponder con un periodo de retorno de 200 años.</w:t>
      </w:r>
    </w:p>
    <w:p w14:paraId="7940E012" w14:textId="77777777" w:rsidR="00AE4F53" w:rsidRPr="008270B7" w:rsidRDefault="00AE4F53" w:rsidP="008270B7">
      <w:pPr>
        <w:tabs>
          <w:tab w:val="left" w:pos="720"/>
        </w:tabs>
        <w:jc w:val="both"/>
        <w:rPr>
          <w:rFonts w:cs="Arial"/>
          <w:color w:val="000000" w:themeColor="text1"/>
          <w:sz w:val="16"/>
          <w:szCs w:val="16"/>
        </w:rPr>
      </w:pPr>
    </w:p>
    <w:p w14:paraId="48E10661" w14:textId="77777777" w:rsidR="00AE4F53" w:rsidRPr="008270B7" w:rsidRDefault="00AE4F53" w:rsidP="008270B7">
      <w:pPr>
        <w:pStyle w:val="Prrafodelista"/>
        <w:numPr>
          <w:ilvl w:val="0"/>
          <w:numId w:val="9"/>
        </w:numPr>
        <w:tabs>
          <w:tab w:val="left" w:pos="720"/>
        </w:tabs>
        <w:jc w:val="both"/>
        <w:rPr>
          <w:rFonts w:cs="Arial"/>
          <w:color w:val="000000" w:themeColor="text1"/>
          <w:sz w:val="16"/>
          <w:szCs w:val="16"/>
        </w:rPr>
      </w:pPr>
      <w:r w:rsidRPr="008270B7">
        <w:rPr>
          <w:rFonts w:cs="Arial"/>
          <w:color w:val="000000" w:themeColor="text1"/>
          <w:sz w:val="16"/>
          <w:szCs w:val="16"/>
        </w:rPr>
        <w:t>Estar basados en métodos validados técnicamente con desarrollo tanto teórico como práctico y contemplar escenarios que reconozcan el riesgo asociado a las acumulaciones conocidas y las acumulaciones probables de la cartera de la entidad. Se entiende por acumulaciones conocidas, aquellas identificadas a partir de criterios tales como: concentración de los centros de trabajo de diferentes empresas afiliadas a una misma entidad aseguradora en una misma área geográfica y/o concentración de un volumen de asegurados de una misma empresa afiliada en una determinada ubicación geográfica de manera permanente. Se entiende por acumulaciones probables, aquellas acumulaciones de riesgos a las que puede enfrentarse la entidad aseguradora por una situación extraordinaria pero probable, tales como acumulaciones de afiliados de una misma empresa por eventos esporádicos que sean objeto de cobertura.</w:t>
      </w:r>
    </w:p>
    <w:p w14:paraId="7BBE8A2E" w14:textId="77777777" w:rsidR="00AE4F53" w:rsidRPr="008270B7" w:rsidRDefault="00AE4F53" w:rsidP="008270B7">
      <w:pPr>
        <w:tabs>
          <w:tab w:val="left" w:pos="720"/>
        </w:tabs>
        <w:jc w:val="both"/>
        <w:rPr>
          <w:rFonts w:cs="Arial"/>
          <w:color w:val="000000" w:themeColor="text1"/>
          <w:sz w:val="16"/>
          <w:szCs w:val="16"/>
        </w:rPr>
      </w:pPr>
    </w:p>
    <w:p w14:paraId="57C809D6" w14:textId="77777777" w:rsidR="00AE4F53" w:rsidRPr="008270B7" w:rsidRDefault="00AE4F53" w:rsidP="008270B7">
      <w:pPr>
        <w:pStyle w:val="Prrafodelista"/>
        <w:numPr>
          <w:ilvl w:val="0"/>
          <w:numId w:val="9"/>
        </w:numPr>
        <w:tabs>
          <w:tab w:val="left" w:pos="720"/>
        </w:tabs>
        <w:jc w:val="both"/>
        <w:rPr>
          <w:rFonts w:cs="Arial"/>
          <w:color w:val="000000" w:themeColor="text1"/>
          <w:sz w:val="16"/>
          <w:szCs w:val="16"/>
          <w:lang w:val="es-ES_tradnl"/>
        </w:rPr>
      </w:pPr>
      <w:r w:rsidRPr="008270B7">
        <w:rPr>
          <w:rFonts w:cs="Arial"/>
          <w:color w:val="000000" w:themeColor="text1"/>
          <w:sz w:val="16"/>
          <w:szCs w:val="16"/>
          <w:lang w:val="es-ES_tradnl"/>
        </w:rPr>
        <w:t>Debe basarse en la experiencia de siniestros propia de la entidad aseguradora. La entidad debe emplear una base de datos con un historial de siniestros de al menos los últimos 10 años. Cuando la entidad disponga de más información debe emplearla. Las entidades aseguradoras que inicien la operación del ramo o que estén en el periodo requerido para acumular la experiencia de siniestros solicitada, deben basarse en la información histórica que han acumulado a la fecha de cálculo y los supuestos propios razonables. En todo caso, las entidades podrán incorporar supuestos propios razonables los cuales deben ser construidos a partir de información del mercado colombiano, de otros mercados con características comparables, evidencia científica o el criterio médico experto, según corresponda. En estos supuestos deben asumirse cargos adicionales por incertidumbre. El modelo debe incorporar un parámetro o variable que reconozca los cambios en la composición de la cartera a la fecha de cálculo.</w:t>
      </w:r>
    </w:p>
    <w:p w14:paraId="302E2BC9" w14:textId="77777777" w:rsidR="00AE4F53" w:rsidRPr="008270B7" w:rsidRDefault="00AE4F53" w:rsidP="008270B7">
      <w:pPr>
        <w:tabs>
          <w:tab w:val="left" w:pos="720"/>
        </w:tabs>
        <w:jc w:val="both"/>
        <w:rPr>
          <w:rFonts w:cs="Arial"/>
          <w:color w:val="000000" w:themeColor="text1"/>
          <w:sz w:val="16"/>
          <w:szCs w:val="16"/>
        </w:rPr>
      </w:pPr>
    </w:p>
    <w:p w14:paraId="76529E13" w14:textId="77777777" w:rsidR="00AE4F53" w:rsidRPr="008270B7" w:rsidRDefault="00AE4F53" w:rsidP="008270B7">
      <w:pPr>
        <w:pStyle w:val="Prrafodelista"/>
        <w:numPr>
          <w:ilvl w:val="0"/>
          <w:numId w:val="9"/>
        </w:numPr>
        <w:tabs>
          <w:tab w:val="left" w:pos="720"/>
        </w:tabs>
        <w:jc w:val="both"/>
        <w:rPr>
          <w:rFonts w:cs="Arial"/>
          <w:color w:val="000000" w:themeColor="text1"/>
          <w:sz w:val="16"/>
          <w:szCs w:val="16"/>
        </w:rPr>
      </w:pPr>
      <w:r w:rsidRPr="008270B7">
        <w:rPr>
          <w:rFonts w:cs="Arial"/>
          <w:color w:val="000000" w:themeColor="text1"/>
          <w:sz w:val="16"/>
          <w:szCs w:val="16"/>
        </w:rPr>
        <w:t>Contemplar escenarios de estrés en los cuales se exacerben las indemnizaciones de cada una de las prestaciones económicas y/o asistenciales, así como un incremento generalizado en los costos de los insumos médicos y similares. Entre otros, deben contemplarse escenarios en los cuales la materialización del riesgo llevaría a la entidad a asumir un número y/o monto atípico de indemnizaciones por prestaciones asistenciales que culminen en pensiones de invalidez, así como escenarios en los cuales la entidad asume un alto volumen de indemnizaciones por prestaciones asistenciales pero que culminan en pensiones de sobrevivencia o prestaciones asistenciales para siniestros crónicos y/o vitalicios.</w:t>
      </w:r>
    </w:p>
    <w:p w14:paraId="5A8739DC" w14:textId="77777777" w:rsidR="00AE4F53" w:rsidRPr="008270B7" w:rsidRDefault="00AE4F53" w:rsidP="008270B7">
      <w:pPr>
        <w:tabs>
          <w:tab w:val="left" w:pos="720"/>
        </w:tabs>
        <w:jc w:val="both"/>
        <w:rPr>
          <w:rFonts w:cs="Arial"/>
          <w:color w:val="000000" w:themeColor="text1"/>
          <w:sz w:val="16"/>
          <w:szCs w:val="16"/>
        </w:rPr>
      </w:pPr>
    </w:p>
    <w:p w14:paraId="10C3899D" w14:textId="77777777" w:rsidR="00AE4F53" w:rsidRPr="008270B7" w:rsidRDefault="00AE4F53" w:rsidP="008270B7">
      <w:pPr>
        <w:tabs>
          <w:tab w:val="left" w:pos="720"/>
        </w:tabs>
        <w:jc w:val="both"/>
        <w:rPr>
          <w:rFonts w:cs="Arial"/>
          <w:color w:val="000000" w:themeColor="text1"/>
          <w:sz w:val="16"/>
          <w:szCs w:val="16"/>
        </w:rPr>
      </w:pPr>
      <w:r w:rsidRPr="008270B7">
        <w:rPr>
          <w:rFonts w:cs="Arial"/>
          <w:sz w:val="16"/>
          <w:szCs w:val="16"/>
        </w:rPr>
        <w:t>1.6.4.2.1.3</w:t>
      </w:r>
      <w:r w:rsidRPr="008270B7">
        <w:rPr>
          <w:rFonts w:cs="Arial"/>
          <w:color w:val="000000" w:themeColor="text1"/>
          <w:sz w:val="16"/>
          <w:szCs w:val="16"/>
        </w:rPr>
        <w:t xml:space="preserve">. Las condiciones de los contratos de reaseguro deben tener correspondencia con el apetito de riesgo establecido por la junta directiva contenido en la política de retención de riesgos de la entidad aseguradora de que trata el </w:t>
      </w:r>
      <w:proofErr w:type="spellStart"/>
      <w:r w:rsidRPr="008270B7">
        <w:rPr>
          <w:rFonts w:cs="Arial"/>
          <w:color w:val="000000" w:themeColor="text1"/>
          <w:sz w:val="16"/>
          <w:szCs w:val="16"/>
        </w:rPr>
        <w:t>subnumeral</w:t>
      </w:r>
      <w:proofErr w:type="spellEnd"/>
      <w:r w:rsidRPr="008270B7">
        <w:rPr>
          <w:rFonts w:cs="Arial"/>
          <w:color w:val="000000" w:themeColor="text1"/>
          <w:sz w:val="16"/>
          <w:szCs w:val="16"/>
        </w:rPr>
        <w:t xml:space="preserve"> 1.6.2.1 del presente Capítulo, garantizando que se cumpla en todo momento con la normatividad vigente.</w:t>
      </w:r>
    </w:p>
    <w:p w14:paraId="3882F399" w14:textId="77777777" w:rsidR="00AE4F53" w:rsidRPr="008270B7" w:rsidRDefault="00AE4F53" w:rsidP="008270B7">
      <w:pPr>
        <w:tabs>
          <w:tab w:val="left" w:pos="720"/>
        </w:tabs>
        <w:jc w:val="both"/>
        <w:rPr>
          <w:rFonts w:cs="Arial"/>
          <w:color w:val="000000" w:themeColor="text1"/>
          <w:sz w:val="16"/>
          <w:szCs w:val="16"/>
        </w:rPr>
      </w:pPr>
    </w:p>
    <w:p w14:paraId="12C80AD4"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1.6.4.2.1.4. Dentro de las condiciones particulares de los contratos de reaseguro deben incorporarse, entre otros:</w:t>
      </w:r>
    </w:p>
    <w:p w14:paraId="1F541D1E" w14:textId="77777777" w:rsidR="00AE4F53" w:rsidRPr="008270B7" w:rsidRDefault="00AE4F53" w:rsidP="008270B7">
      <w:pPr>
        <w:tabs>
          <w:tab w:val="left" w:pos="720"/>
        </w:tabs>
        <w:jc w:val="both"/>
        <w:rPr>
          <w:rFonts w:cs="Arial"/>
          <w:color w:val="000000" w:themeColor="text1"/>
          <w:sz w:val="16"/>
          <w:szCs w:val="16"/>
        </w:rPr>
      </w:pPr>
    </w:p>
    <w:p w14:paraId="78EDC0EA" w14:textId="77777777" w:rsidR="00AE4F53" w:rsidRPr="008270B7" w:rsidRDefault="00AE4F53" w:rsidP="008270B7">
      <w:pPr>
        <w:pStyle w:val="Prrafodelista"/>
        <w:numPr>
          <w:ilvl w:val="0"/>
          <w:numId w:val="10"/>
        </w:numPr>
        <w:tabs>
          <w:tab w:val="left" w:pos="720"/>
        </w:tabs>
        <w:jc w:val="both"/>
        <w:rPr>
          <w:rFonts w:cs="Arial"/>
          <w:color w:val="000000" w:themeColor="text1"/>
          <w:sz w:val="16"/>
          <w:szCs w:val="16"/>
        </w:rPr>
      </w:pPr>
      <w:r w:rsidRPr="008270B7">
        <w:rPr>
          <w:rFonts w:cs="Arial"/>
          <w:color w:val="000000" w:themeColor="text1"/>
          <w:sz w:val="16"/>
          <w:szCs w:val="16"/>
          <w:lang w:val="es-CO"/>
        </w:rPr>
        <w:t xml:space="preserve">La definición de evento y el periodo de tiempo </w:t>
      </w:r>
      <w:r w:rsidRPr="008270B7">
        <w:rPr>
          <w:rFonts w:cs="Arial"/>
          <w:color w:val="000000" w:themeColor="text1"/>
          <w:sz w:val="16"/>
          <w:szCs w:val="16"/>
        </w:rPr>
        <w:t>para determinar si los hechos ocurridos corresponden a un mismo evento</w:t>
      </w:r>
      <w:r w:rsidRPr="008270B7">
        <w:rPr>
          <w:rFonts w:cs="Arial"/>
          <w:color w:val="000000" w:themeColor="text1"/>
          <w:sz w:val="16"/>
          <w:szCs w:val="16"/>
          <w:lang w:val="es-CO"/>
        </w:rPr>
        <w:t>.</w:t>
      </w:r>
    </w:p>
    <w:p w14:paraId="540ED9FA" w14:textId="77777777" w:rsidR="00AE4F53" w:rsidRPr="008270B7" w:rsidRDefault="00AE4F53" w:rsidP="008270B7">
      <w:pPr>
        <w:tabs>
          <w:tab w:val="left" w:pos="720"/>
        </w:tabs>
        <w:jc w:val="both"/>
        <w:rPr>
          <w:rFonts w:cs="Arial"/>
          <w:color w:val="000000" w:themeColor="text1"/>
          <w:sz w:val="16"/>
          <w:szCs w:val="16"/>
        </w:rPr>
      </w:pPr>
    </w:p>
    <w:p w14:paraId="58CD2728" w14:textId="77777777" w:rsidR="00AE4F53" w:rsidRPr="008270B7" w:rsidRDefault="00AE4F53" w:rsidP="008270B7">
      <w:pPr>
        <w:pStyle w:val="Prrafodelista"/>
        <w:numPr>
          <w:ilvl w:val="0"/>
          <w:numId w:val="10"/>
        </w:numPr>
        <w:tabs>
          <w:tab w:val="left" w:pos="720"/>
        </w:tabs>
        <w:jc w:val="both"/>
        <w:rPr>
          <w:rFonts w:cs="Arial"/>
          <w:color w:val="000000" w:themeColor="text1"/>
          <w:sz w:val="16"/>
          <w:szCs w:val="16"/>
        </w:rPr>
      </w:pPr>
      <w:r w:rsidRPr="008270B7">
        <w:rPr>
          <w:rFonts w:cs="Arial"/>
          <w:color w:val="000000" w:themeColor="text1"/>
          <w:sz w:val="16"/>
          <w:szCs w:val="16"/>
        </w:rPr>
        <w:t>Las medidas que tomarán las partes del contrato de reaseguro por cambios en el perfil de la cartera durante la vigencia del contrato. Dentro de las posibles causales de cambios en la cartera, debe contemplarse la obligación de afiliación que tiene la entidad aseguradora, según corresponde a las disposiciones legales vigentes.</w:t>
      </w:r>
    </w:p>
    <w:p w14:paraId="5164137B" w14:textId="77777777" w:rsidR="00AE4F53" w:rsidRPr="008270B7" w:rsidRDefault="00AE4F53" w:rsidP="008270B7">
      <w:pPr>
        <w:tabs>
          <w:tab w:val="left" w:pos="720"/>
        </w:tabs>
        <w:jc w:val="both"/>
        <w:rPr>
          <w:rFonts w:cs="Arial"/>
          <w:color w:val="000000" w:themeColor="text1"/>
          <w:sz w:val="16"/>
          <w:szCs w:val="16"/>
        </w:rPr>
      </w:pPr>
    </w:p>
    <w:p w14:paraId="074C2962" w14:textId="77777777" w:rsidR="00AE4F53" w:rsidRPr="008270B7" w:rsidRDefault="00AE4F53" w:rsidP="008270B7">
      <w:pPr>
        <w:pStyle w:val="Prrafodelista"/>
        <w:numPr>
          <w:ilvl w:val="0"/>
          <w:numId w:val="10"/>
        </w:numPr>
        <w:tabs>
          <w:tab w:val="left" w:pos="720"/>
        </w:tabs>
        <w:jc w:val="both"/>
        <w:rPr>
          <w:rFonts w:cs="Arial"/>
          <w:color w:val="000000" w:themeColor="text1"/>
          <w:sz w:val="16"/>
          <w:szCs w:val="16"/>
        </w:rPr>
      </w:pPr>
      <w:r w:rsidRPr="008270B7">
        <w:rPr>
          <w:rFonts w:cs="Arial"/>
          <w:color w:val="000000" w:themeColor="text1"/>
          <w:sz w:val="16"/>
          <w:szCs w:val="16"/>
        </w:rPr>
        <w:t xml:space="preserve">Los tiempos máximos de reclamación o solicitud de reembolso a los reaseguradores participantes en el contrato de reaseguro. Los tiempos máximos deben basarse en el comportamiento histórico observado del aviso de reclamaciones de la entidad aseguradora, para lo cual se debe tomar como mínimo el tiempo promedio de aviso observado más una desviación estándar. </w:t>
      </w:r>
      <w:r w:rsidRPr="008270B7">
        <w:rPr>
          <w:rFonts w:cs="Arial"/>
          <w:color w:val="000000" w:themeColor="text1"/>
          <w:sz w:val="16"/>
          <w:szCs w:val="16"/>
          <w:lang w:val="es-ES_tradnl"/>
        </w:rPr>
        <w:t>Las entidades aseguradoras que inicien la operación del ramo podrán incorporar supuestos propios razonables los cuales deben ser construidos a partir de información del mercado colombiano y de otros mercados con características comparables.</w:t>
      </w:r>
      <w:r w:rsidRPr="008270B7">
        <w:rPr>
          <w:rFonts w:cs="Arial"/>
          <w:color w:val="000000" w:themeColor="text1"/>
          <w:sz w:val="16"/>
          <w:szCs w:val="16"/>
        </w:rPr>
        <w:t xml:space="preserve"> En todo caso, las partes deben definir las medidas que tomarán al vencimiento del tiempo máximo de reclamación frente a los siniestros ocurridos no avisados y los siniestros en desarrollo.</w:t>
      </w:r>
    </w:p>
    <w:p w14:paraId="0FDC43F6" w14:textId="77777777" w:rsidR="00AE4F53" w:rsidRPr="008270B7" w:rsidRDefault="00AE4F53" w:rsidP="008270B7">
      <w:pPr>
        <w:tabs>
          <w:tab w:val="left" w:pos="720"/>
        </w:tabs>
        <w:jc w:val="both"/>
        <w:rPr>
          <w:rFonts w:cs="Arial"/>
          <w:color w:val="000000" w:themeColor="text1"/>
          <w:sz w:val="16"/>
          <w:szCs w:val="16"/>
        </w:rPr>
      </w:pPr>
    </w:p>
    <w:p w14:paraId="1027E00E" w14:textId="77777777" w:rsidR="00AE4F53" w:rsidRPr="008270B7" w:rsidRDefault="00AE4F53" w:rsidP="008270B7">
      <w:pPr>
        <w:pStyle w:val="Prrafodelista"/>
        <w:numPr>
          <w:ilvl w:val="0"/>
          <w:numId w:val="10"/>
        </w:numPr>
        <w:tabs>
          <w:tab w:val="left" w:pos="720"/>
        </w:tabs>
        <w:jc w:val="both"/>
        <w:rPr>
          <w:rFonts w:cs="Arial"/>
          <w:color w:val="000000" w:themeColor="text1"/>
          <w:sz w:val="16"/>
          <w:szCs w:val="16"/>
        </w:rPr>
      </w:pPr>
      <w:proofErr w:type="spellStart"/>
      <w:r w:rsidRPr="008270B7">
        <w:rPr>
          <w:rFonts w:cs="Arial"/>
          <w:color w:val="000000" w:themeColor="text1"/>
          <w:sz w:val="16"/>
          <w:szCs w:val="16"/>
        </w:rPr>
        <w:t>Reinstalamentos</w:t>
      </w:r>
      <w:proofErr w:type="spellEnd"/>
      <w:r w:rsidRPr="008270B7">
        <w:rPr>
          <w:rFonts w:cs="Arial"/>
          <w:color w:val="000000" w:themeColor="text1"/>
          <w:sz w:val="16"/>
          <w:szCs w:val="16"/>
        </w:rPr>
        <w:t xml:space="preserve"> que correspondan con la probabilidad de afectación de las capas contratadas.</w:t>
      </w:r>
    </w:p>
    <w:p w14:paraId="64CB2897" w14:textId="77777777" w:rsidR="00AE4F53" w:rsidRPr="008270B7" w:rsidRDefault="00AE4F53" w:rsidP="008270B7">
      <w:pPr>
        <w:tabs>
          <w:tab w:val="left" w:pos="720"/>
        </w:tabs>
        <w:jc w:val="both"/>
        <w:rPr>
          <w:rFonts w:cs="Arial"/>
          <w:color w:val="000000" w:themeColor="text1"/>
          <w:sz w:val="16"/>
          <w:szCs w:val="16"/>
        </w:rPr>
      </w:pPr>
    </w:p>
    <w:p w14:paraId="60E108D6" w14:textId="77777777" w:rsidR="00AE4F53" w:rsidRPr="008270B7" w:rsidRDefault="00AE4F53" w:rsidP="008270B7">
      <w:pPr>
        <w:pStyle w:val="Prrafodelista"/>
        <w:numPr>
          <w:ilvl w:val="0"/>
          <w:numId w:val="10"/>
        </w:numPr>
        <w:tabs>
          <w:tab w:val="left" w:pos="720"/>
        </w:tabs>
        <w:jc w:val="both"/>
        <w:rPr>
          <w:rFonts w:cs="Arial"/>
          <w:color w:val="000000" w:themeColor="text1"/>
          <w:sz w:val="16"/>
          <w:szCs w:val="16"/>
        </w:rPr>
      </w:pPr>
      <w:r w:rsidRPr="008270B7">
        <w:rPr>
          <w:rFonts w:cs="Arial"/>
          <w:color w:val="000000" w:themeColor="text1"/>
          <w:sz w:val="16"/>
          <w:szCs w:val="16"/>
        </w:rPr>
        <w:t xml:space="preserve">Los demás ramos cubiertos por el mismo contrato de reaseguro. Cuando se suscriban contratos de reaseguro que amparen más de un ramo, la entidad aseguradora debe determinar la capacidad máxima del contrato que puede comprometer los siniestros de los ramos amparados distintos de riesgos laborales. En estos casos, las entidades aseguradoras deben modelar los eventos de los demás ramos cubiertos por el contrato de reaseguro. Los modelos empleados deben atender a lo dispuesto en el </w:t>
      </w:r>
      <w:proofErr w:type="spellStart"/>
      <w:r w:rsidRPr="008270B7">
        <w:rPr>
          <w:rFonts w:cs="Arial"/>
          <w:color w:val="000000" w:themeColor="text1"/>
          <w:sz w:val="16"/>
          <w:szCs w:val="16"/>
        </w:rPr>
        <w:t>subnumeral</w:t>
      </w:r>
      <w:proofErr w:type="spellEnd"/>
      <w:r w:rsidRPr="008270B7">
        <w:rPr>
          <w:rFonts w:cs="Arial"/>
          <w:color w:val="000000" w:themeColor="text1"/>
          <w:sz w:val="16"/>
          <w:szCs w:val="16"/>
        </w:rPr>
        <w:t xml:space="preserve"> 1.6.4.2.1.2 del presente capítulo. La entidad aseguradora debe evaluar la suficiencia del contrato de reaseguro y documentarla. En la evaluación de la suficiencia del contrato de reaseguro debe constar la metodología actuarial empleada. Dicha metodología debe estar basada en métodos validados técnicamente, con desarrollo tanto teórico como práctico y deberá atender a los criterios señalados en el </w:t>
      </w:r>
      <w:proofErr w:type="spellStart"/>
      <w:r w:rsidRPr="008270B7">
        <w:rPr>
          <w:rFonts w:cs="Arial"/>
          <w:color w:val="000000" w:themeColor="text1"/>
          <w:sz w:val="16"/>
          <w:szCs w:val="16"/>
        </w:rPr>
        <w:t>subnumeral</w:t>
      </w:r>
      <w:proofErr w:type="spellEnd"/>
      <w:r w:rsidRPr="008270B7">
        <w:rPr>
          <w:rFonts w:cs="Arial"/>
          <w:color w:val="000000" w:themeColor="text1"/>
          <w:sz w:val="16"/>
          <w:szCs w:val="16"/>
        </w:rPr>
        <w:t xml:space="preserve"> 1.6.4.2.1.2 del presente capítulo, siempre que dichos criterios permitan realizar estimaciones actuariales y estadísticamente razonables. En la documentación que tengan las entidades aseguradoras a disposición de la SFC debe evidenciarse una valoración de escenarios que permita acreditar la suficiencia del contrato de reaseguro en los siguientes casos: i) si ocurren múltiples eventos y consumen parte de la capacidad o </w:t>
      </w:r>
      <w:proofErr w:type="spellStart"/>
      <w:r w:rsidRPr="008270B7">
        <w:rPr>
          <w:rFonts w:cs="Arial"/>
          <w:color w:val="000000" w:themeColor="text1"/>
          <w:sz w:val="16"/>
          <w:szCs w:val="16"/>
        </w:rPr>
        <w:t>ii</w:t>
      </w:r>
      <w:proofErr w:type="spellEnd"/>
      <w:r w:rsidRPr="008270B7">
        <w:rPr>
          <w:rFonts w:cs="Arial"/>
          <w:color w:val="000000" w:themeColor="text1"/>
          <w:sz w:val="16"/>
          <w:szCs w:val="16"/>
        </w:rPr>
        <w:t>) si un mismo evento afecta a los diferentes ramos objeto de cobertura del contrato de reaseguro.</w:t>
      </w:r>
    </w:p>
    <w:p w14:paraId="341CEDBB" w14:textId="77777777" w:rsidR="00AE4F53" w:rsidRPr="008270B7" w:rsidRDefault="00AE4F53" w:rsidP="008270B7">
      <w:pPr>
        <w:tabs>
          <w:tab w:val="left" w:pos="720"/>
        </w:tabs>
        <w:jc w:val="both"/>
        <w:rPr>
          <w:rFonts w:cs="Arial"/>
          <w:color w:val="000000" w:themeColor="text1"/>
          <w:sz w:val="16"/>
          <w:szCs w:val="16"/>
        </w:rPr>
      </w:pPr>
    </w:p>
    <w:p w14:paraId="54D8FFAA" w14:textId="77777777" w:rsidR="00AE4F53" w:rsidRPr="008270B7" w:rsidRDefault="00AE4F53" w:rsidP="008270B7">
      <w:pPr>
        <w:tabs>
          <w:tab w:val="left" w:pos="720"/>
        </w:tabs>
        <w:jc w:val="both"/>
        <w:rPr>
          <w:rFonts w:cs="Arial"/>
          <w:color w:val="000000" w:themeColor="text1"/>
          <w:sz w:val="16"/>
          <w:szCs w:val="16"/>
          <w:lang w:val="es-CO"/>
        </w:rPr>
      </w:pPr>
      <w:r w:rsidRPr="008270B7">
        <w:rPr>
          <w:rFonts w:cs="Arial"/>
          <w:color w:val="000000" w:themeColor="text1"/>
          <w:sz w:val="16"/>
          <w:szCs w:val="16"/>
          <w:lang w:val="es-CO"/>
        </w:rPr>
        <w:t>1.6.4.2.2 Obligación de documentación y conservación de información por parte de las entidades aseguradoras</w:t>
      </w:r>
    </w:p>
    <w:p w14:paraId="23D509B5" w14:textId="77777777" w:rsidR="00AE4F53" w:rsidRPr="008270B7" w:rsidRDefault="00AE4F53" w:rsidP="008270B7">
      <w:pPr>
        <w:tabs>
          <w:tab w:val="left" w:pos="720"/>
        </w:tabs>
        <w:jc w:val="both"/>
        <w:rPr>
          <w:rFonts w:cs="Arial"/>
          <w:color w:val="000000" w:themeColor="text1"/>
          <w:sz w:val="16"/>
          <w:szCs w:val="16"/>
          <w:lang w:val="es-CO"/>
        </w:rPr>
      </w:pPr>
    </w:p>
    <w:p w14:paraId="3EE21C47" w14:textId="77777777" w:rsidR="00AE4F53" w:rsidRPr="008270B7" w:rsidRDefault="00AE4F53" w:rsidP="008270B7">
      <w:pPr>
        <w:tabs>
          <w:tab w:val="left" w:pos="720"/>
          <w:tab w:val="left" w:pos="1064"/>
          <w:tab w:val="left" w:pos="2057"/>
          <w:tab w:val="left" w:pos="8789"/>
        </w:tabs>
        <w:ind w:right="51"/>
        <w:jc w:val="both"/>
        <w:rPr>
          <w:rFonts w:cs="Arial"/>
          <w:color w:val="000000" w:themeColor="text1"/>
          <w:sz w:val="16"/>
          <w:szCs w:val="16"/>
        </w:rPr>
      </w:pPr>
      <w:r w:rsidRPr="008270B7">
        <w:rPr>
          <w:rFonts w:cs="Arial"/>
          <w:color w:val="000000" w:themeColor="text1"/>
          <w:sz w:val="16"/>
          <w:szCs w:val="16"/>
        </w:rPr>
        <w:t>La documentación e información que conozcan, recopilen, utilicen y generen las entidades aseguradoras en el proceso de contratación de las coberturas de reaseguro, junto con sus modificaciones, debe ser conservada durante el plazo dispuesto en el artículo 96 del EOSF, mediante cualquier medio que asegure su integridad y mantenerse a disposición de la SFC. Este deber aplica sin perjuicio de las demás disposiciones relacionadas con la documentación y conservación de la información.</w:t>
      </w:r>
    </w:p>
    <w:p w14:paraId="03639A20" w14:textId="77777777" w:rsidR="00AE4F53" w:rsidRPr="008270B7" w:rsidRDefault="00AE4F53" w:rsidP="008270B7">
      <w:pPr>
        <w:tabs>
          <w:tab w:val="left" w:pos="720"/>
          <w:tab w:val="left" w:pos="1064"/>
          <w:tab w:val="left" w:pos="2057"/>
          <w:tab w:val="left" w:pos="8789"/>
        </w:tabs>
        <w:ind w:right="51"/>
        <w:jc w:val="both"/>
        <w:rPr>
          <w:rFonts w:cs="Arial"/>
          <w:color w:val="000000" w:themeColor="text1"/>
          <w:sz w:val="16"/>
          <w:szCs w:val="16"/>
        </w:rPr>
        <w:sectPr w:rsidR="00AE4F53" w:rsidRPr="008270B7" w:rsidSect="00761771">
          <w:footerReference w:type="first" r:id="rId40"/>
          <w:pgSz w:w="12240" w:h="18720" w:code="257"/>
          <w:pgMar w:top="1417" w:right="1701" w:bottom="1417" w:left="1701" w:header="709" w:footer="865" w:gutter="0"/>
          <w:cols w:space="708"/>
          <w:titlePg/>
          <w:docGrid w:linePitch="360"/>
        </w:sectPr>
      </w:pPr>
    </w:p>
    <w:p w14:paraId="1F1C784C"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r w:rsidRPr="008270B7">
        <w:rPr>
          <w:rFonts w:cs="Arial"/>
          <w:color w:val="000000" w:themeColor="text1"/>
          <w:sz w:val="16"/>
          <w:szCs w:val="16"/>
        </w:rPr>
        <w:lastRenderedPageBreak/>
        <w:t xml:space="preserve">1.6.5. Control de cesiones y aceptaciones de reaseguros facultativos </w:t>
      </w:r>
    </w:p>
    <w:p w14:paraId="223FB7B4"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p>
    <w:p w14:paraId="017741CC" w14:textId="77777777" w:rsidR="00AE4F53" w:rsidRPr="008270B7" w:rsidRDefault="00AE4F53" w:rsidP="008270B7">
      <w:pPr>
        <w:tabs>
          <w:tab w:val="left" w:pos="720"/>
          <w:tab w:val="left" w:pos="1064"/>
          <w:tab w:val="left" w:pos="2057"/>
        </w:tabs>
        <w:ind w:right="51"/>
        <w:jc w:val="both"/>
        <w:rPr>
          <w:rFonts w:cs="Arial"/>
          <w:color w:val="000000" w:themeColor="text1"/>
          <w:sz w:val="16"/>
          <w:szCs w:val="16"/>
        </w:rPr>
      </w:pPr>
      <w:r w:rsidRPr="008270B7">
        <w:rPr>
          <w:rFonts w:cs="Arial"/>
          <w:color w:val="000000" w:themeColor="text1"/>
          <w:sz w:val="16"/>
          <w:szCs w:val="16"/>
        </w:rPr>
        <w:t xml:space="preserve">Las entidades aseguradoras deben adoptar mecanismos de control secuencial de las cesiones y aceptaciones de reaseguro facultativo que permitan a las partes contar con elementos que brinden certeza sobre los convenios. La SFC debe evaluar el contenido y calidad de tales mecanismos en desarrollo de la supervisión que adelante a las entidades.  </w:t>
      </w:r>
    </w:p>
    <w:p w14:paraId="5723D493" w14:textId="77777777" w:rsidR="00AE4F53" w:rsidRPr="008270B7" w:rsidRDefault="00AE4F53" w:rsidP="008270B7">
      <w:pPr>
        <w:tabs>
          <w:tab w:val="left" w:pos="720"/>
        </w:tabs>
        <w:jc w:val="both"/>
        <w:rPr>
          <w:rFonts w:cs="Arial"/>
          <w:color w:val="000000" w:themeColor="text1"/>
          <w:sz w:val="16"/>
          <w:szCs w:val="16"/>
        </w:rPr>
      </w:pPr>
    </w:p>
    <w:p w14:paraId="149EDE5A"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1.6.6. Prácticas inseguras</w:t>
      </w:r>
    </w:p>
    <w:p w14:paraId="2DC4E48F" w14:textId="77777777" w:rsidR="00AE4F53" w:rsidRPr="008270B7" w:rsidRDefault="00AE4F53" w:rsidP="008270B7">
      <w:pPr>
        <w:tabs>
          <w:tab w:val="left" w:pos="720"/>
        </w:tabs>
        <w:jc w:val="both"/>
        <w:rPr>
          <w:rFonts w:cs="Arial"/>
          <w:color w:val="000000" w:themeColor="text1"/>
          <w:sz w:val="16"/>
          <w:szCs w:val="16"/>
        </w:rPr>
      </w:pPr>
    </w:p>
    <w:p w14:paraId="75810ED3"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Se consideran como prácticas inseguras y no autorizadas, las siguientes conductas:</w:t>
      </w:r>
    </w:p>
    <w:p w14:paraId="73229C6D" w14:textId="77777777" w:rsidR="00AE4F53" w:rsidRPr="008270B7" w:rsidRDefault="00AE4F53" w:rsidP="008270B7">
      <w:pPr>
        <w:pStyle w:val="Textoindependiente210"/>
        <w:tabs>
          <w:tab w:val="clear" w:pos="851"/>
          <w:tab w:val="left" w:pos="720"/>
        </w:tabs>
        <w:rPr>
          <w:rFonts w:cs="Arial"/>
          <w:color w:val="000000" w:themeColor="text1"/>
          <w:sz w:val="16"/>
          <w:szCs w:val="16"/>
          <w:lang w:val="es-ES"/>
        </w:rPr>
      </w:pPr>
    </w:p>
    <w:p w14:paraId="11D7F178" w14:textId="77777777" w:rsidR="00AE4F53" w:rsidRPr="008270B7" w:rsidRDefault="00AE4F53" w:rsidP="008270B7">
      <w:pPr>
        <w:pStyle w:val="Textoindependiente210"/>
        <w:tabs>
          <w:tab w:val="clear" w:pos="851"/>
          <w:tab w:val="left" w:pos="720"/>
        </w:tabs>
        <w:rPr>
          <w:rFonts w:cs="Arial"/>
          <w:color w:val="000000" w:themeColor="text1"/>
          <w:sz w:val="16"/>
          <w:szCs w:val="16"/>
          <w:lang w:val="es-ES"/>
        </w:rPr>
      </w:pPr>
      <w:r w:rsidRPr="008270B7">
        <w:rPr>
          <w:rFonts w:cs="Arial"/>
          <w:color w:val="000000" w:themeColor="text1"/>
          <w:sz w:val="16"/>
          <w:szCs w:val="16"/>
          <w:lang w:val="es-ES"/>
        </w:rPr>
        <w:t>1.6.6.1. La expedición de pólizas de seguro respecto de las cuales la sociedad no haya logrado obtener, mediante el empleo de contratos de reaseguro, colocación en firme del respectivo riesgo, en aquellos eventos en los que la entidad requiera del reaseguro.</w:t>
      </w:r>
    </w:p>
    <w:p w14:paraId="2457436A" w14:textId="77777777" w:rsidR="00AE4F53" w:rsidRPr="008270B7" w:rsidRDefault="00AE4F53" w:rsidP="008270B7">
      <w:pPr>
        <w:pStyle w:val="Textoindependiente210"/>
        <w:tabs>
          <w:tab w:val="clear" w:pos="851"/>
          <w:tab w:val="left" w:pos="720"/>
        </w:tabs>
        <w:rPr>
          <w:rFonts w:cs="Arial"/>
          <w:color w:val="000000" w:themeColor="text1"/>
          <w:sz w:val="16"/>
          <w:szCs w:val="16"/>
          <w:lang w:val="es-ES"/>
        </w:rPr>
      </w:pPr>
    </w:p>
    <w:p w14:paraId="42C2038A"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1.6.6.2. La cesión o aceptación de riesgos en reaseguro facultativo, por funcionarios distintos de aquellos autorizados para tal efecto, con prescindencia de los mecanismos de control secuencial a que alude el </w:t>
      </w:r>
      <w:proofErr w:type="spellStart"/>
      <w:r w:rsidRPr="008270B7">
        <w:rPr>
          <w:rFonts w:cs="Arial"/>
          <w:color w:val="000000" w:themeColor="text1"/>
          <w:sz w:val="16"/>
          <w:szCs w:val="16"/>
        </w:rPr>
        <w:t>subnumeral</w:t>
      </w:r>
      <w:proofErr w:type="spellEnd"/>
      <w:r w:rsidRPr="008270B7">
        <w:rPr>
          <w:rFonts w:cs="Arial"/>
          <w:color w:val="000000" w:themeColor="text1"/>
          <w:sz w:val="16"/>
          <w:szCs w:val="16"/>
        </w:rPr>
        <w:t xml:space="preserve"> 1.6.5 del presente Capítulo, sin perjuicio de las facultades propias del representante legal o de la delegación expresa que éste haga para un negocio específico.</w:t>
      </w:r>
    </w:p>
    <w:p w14:paraId="280E8A4B" w14:textId="77777777" w:rsidR="00AE4F53" w:rsidRPr="008270B7" w:rsidRDefault="00AE4F53" w:rsidP="008270B7">
      <w:pPr>
        <w:tabs>
          <w:tab w:val="left" w:pos="720"/>
        </w:tabs>
        <w:jc w:val="both"/>
        <w:rPr>
          <w:rFonts w:cs="Arial"/>
          <w:color w:val="000000" w:themeColor="text1"/>
          <w:sz w:val="16"/>
          <w:szCs w:val="16"/>
        </w:rPr>
      </w:pPr>
    </w:p>
    <w:p w14:paraId="50DC2BD2"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 xml:space="preserve">1.6.6.3. La celebración de contratos de reaseguro en los que no se verifique una transferencia real del riesgo. </w:t>
      </w:r>
    </w:p>
    <w:p w14:paraId="298A098E" w14:textId="77777777" w:rsidR="00AE4F53" w:rsidRPr="008270B7" w:rsidRDefault="00AE4F53" w:rsidP="008270B7">
      <w:pPr>
        <w:tabs>
          <w:tab w:val="left" w:pos="720"/>
        </w:tabs>
        <w:jc w:val="both"/>
        <w:rPr>
          <w:rFonts w:cs="Arial"/>
          <w:color w:val="000000" w:themeColor="text1"/>
          <w:sz w:val="16"/>
          <w:szCs w:val="16"/>
        </w:rPr>
      </w:pPr>
    </w:p>
    <w:p w14:paraId="2F9D6680"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La inobservancia de la presente disposición acarrea la imposición de las sanciones previstas en el EOSF y la suspensión del registro de reaseguradores del exterior REACOEX.</w:t>
      </w:r>
    </w:p>
    <w:p w14:paraId="44721524" w14:textId="77777777" w:rsidR="00AE4F53" w:rsidRPr="008270B7" w:rsidRDefault="00AE4F53" w:rsidP="008270B7">
      <w:pPr>
        <w:tabs>
          <w:tab w:val="left" w:pos="720"/>
        </w:tabs>
        <w:jc w:val="both"/>
        <w:rPr>
          <w:rFonts w:cs="Arial"/>
          <w:color w:val="000000" w:themeColor="text1"/>
          <w:sz w:val="16"/>
          <w:szCs w:val="16"/>
        </w:rPr>
      </w:pPr>
    </w:p>
    <w:p w14:paraId="67A1DB58"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1.6.7. Reporte de Información</w:t>
      </w:r>
    </w:p>
    <w:p w14:paraId="4768B3EF" w14:textId="77777777" w:rsidR="00AE4F53" w:rsidRPr="008270B7" w:rsidRDefault="00AE4F53" w:rsidP="008270B7">
      <w:pPr>
        <w:tabs>
          <w:tab w:val="left" w:pos="-1134"/>
        </w:tabs>
        <w:ind w:right="356"/>
        <w:jc w:val="both"/>
        <w:rPr>
          <w:rFonts w:cs="Arial"/>
          <w:color w:val="000000" w:themeColor="text1"/>
          <w:sz w:val="16"/>
          <w:szCs w:val="16"/>
        </w:rPr>
      </w:pPr>
    </w:p>
    <w:p w14:paraId="16CBA00F" w14:textId="77777777" w:rsidR="00AE4F53" w:rsidRPr="008270B7" w:rsidRDefault="00AE4F53" w:rsidP="008270B7">
      <w:pPr>
        <w:tabs>
          <w:tab w:val="left" w:pos="-1134"/>
        </w:tabs>
        <w:ind w:right="51"/>
        <w:jc w:val="both"/>
        <w:rPr>
          <w:rFonts w:cs="Arial"/>
          <w:color w:val="000000" w:themeColor="text1"/>
          <w:sz w:val="16"/>
          <w:szCs w:val="16"/>
        </w:rPr>
      </w:pPr>
      <w:r w:rsidRPr="008270B7">
        <w:rPr>
          <w:rFonts w:cs="Arial"/>
          <w:color w:val="000000" w:themeColor="text1"/>
          <w:sz w:val="16"/>
          <w:szCs w:val="16"/>
        </w:rPr>
        <w:t>Las entidades aseguradoras deben remitir a esta Superintendencia de manera mensual y en la fecha prevista para la transmisión de los estados financieros intermedios y de fin de ejercicio, la información relacionada con las primas cedidas por reasegurador y tipo de contrato, así como las primas aceptadas por cedente y tipo de contrato, para lo cual deben diligenciar las siguientes proformas:</w:t>
      </w:r>
    </w:p>
    <w:p w14:paraId="1CC816D3" w14:textId="77777777" w:rsidR="00AE4F53" w:rsidRPr="008270B7" w:rsidRDefault="00AE4F53" w:rsidP="008270B7">
      <w:pPr>
        <w:tabs>
          <w:tab w:val="left" w:pos="-1134"/>
        </w:tabs>
        <w:ind w:right="356"/>
        <w:jc w:val="both"/>
        <w:rPr>
          <w:rFonts w:cs="Arial"/>
          <w:color w:val="000000" w:themeColor="text1"/>
          <w:sz w:val="16"/>
          <w:szCs w:val="16"/>
        </w:rPr>
      </w:pPr>
    </w:p>
    <w:p w14:paraId="4320590B"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F3000-82 Primas aceptadas en reaseguro</w:t>
      </w:r>
    </w:p>
    <w:p w14:paraId="4B04E445"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F3000-83 Primas cedidas en reaseguro</w:t>
      </w:r>
    </w:p>
    <w:p w14:paraId="15B60CC7" w14:textId="77777777" w:rsidR="00AE4F53" w:rsidRPr="008270B7" w:rsidRDefault="00AE4F53" w:rsidP="008270B7">
      <w:pPr>
        <w:tabs>
          <w:tab w:val="left" w:pos="-1134"/>
        </w:tabs>
        <w:ind w:right="51"/>
        <w:jc w:val="both"/>
        <w:rPr>
          <w:rFonts w:cs="Arial"/>
          <w:color w:val="000000" w:themeColor="text1"/>
          <w:sz w:val="16"/>
          <w:szCs w:val="16"/>
        </w:rPr>
      </w:pPr>
      <w:r w:rsidRPr="008270B7">
        <w:rPr>
          <w:rFonts w:cs="Arial"/>
          <w:color w:val="000000" w:themeColor="text1"/>
          <w:sz w:val="16"/>
          <w:szCs w:val="16"/>
        </w:rPr>
        <w:t>F3000-84 Reaseguradores y aseguradoras cedentes del exterior no listados</w:t>
      </w:r>
    </w:p>
    <w:p w14:paraId="0414DC61" w14:textId="77777777" w:rsidR="00AE4F53" w:rsidRPr="008270B7" w:rsidRDefault="00AE4F53" w:rsidP="008270B7">
      <w:pPr>
        <w:tabs>
          <w:tab w:val="left" w:pos="-1134"/>
        </w:tabs>
        <w:ind w:right="51"/>
        <w:jc w:val="both"/>
        <w:rPr>
          <w:rFonts w:cs="Arial"/>
          <w:color w:val="000000" w:themeColor="text1"/>
          <w:sz w:val="16"/>
          <w:szCs w:val="16"/>
        </w:rPr>
      </w:pPr>
    </w:p>
    <w:p w14:paraId="2F571D8D" w14:textId="77777777" w:rsidR="00AE4F53" w:rsidRPr="008270B7" w:rsidRDefault="00AE4F53" w:rsidP="008270B7">
      <w:pPr>
        <w:tabs>
          <w:tab w:val="left" w:pos="-1134"/>
        </w:tabs>
        <w:ind w:right="51"/>
        <w:jc w:val="both"/>
        <w:rPr>
          <w:rFonts w:cs="Arial"/>
          <w:color w:val="000000" w:themeColor="text1"/>
          <w:sz w:val="16"/>
          <w:szCs w:val="16"/>
        </w:rPr>
      </w:pPr>
      <w:r w:rsidRPr="008270B7">
        <w:rPr>
          <w:rFonts w:cs="Arial"/>
          <w:color w:val="000000" w:themeColor="text1"/>
          <w:sz w:val="16"/>
          <w:szCs w:val="16"/>
        </w:rPr>
        <w:t>Las entidades aseguradoras deben remitir el último día del mes en que se presente la novedad, la estructura de los contratos automáticos proporcionales y no proporcionales y la nómina de reaseguradores, para lo cual deben diligenciar las siguientes proformas:</w:t>
      </w:r>
    </w:p>
    <w:p w14:paraId="3C15796C" w14:textId="77777777" w:rsidR="00AE4F53" w:rsidRPr="008270B7" w:rsidRDefault="00AE4F53" w:rsidP="008270B7">
      <w:pPr>
        <w:tabs>
          <w:tab w:val="left" w:pos="-1134"/>
        </w:tabs>
        <w:ind w:right="356"/>
        <w:jc w:val="both"/>
        <w:rPr>
          <w:rFonts w:cs="Arial"/>
          <w:color w:val="000000" w:themeColor="text1"/>
          <w:sz w:val="16"/>
          <w:szCs w:val="16"/>
        </w:rPr>
      </w:pPr>
    </w:p>
    <w:p w14:paraId="1EDFFDDA"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F3000-79 Estructura de contratos de reaseguros automáticos proporcionales</w:t>
      </w:r>
    </w:p>
    <w:p w14:paraId="121A50F7"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F3000-80 Estructura de contratos de reaseguros automáticos no proporcionales</w:t>
      </w:r>
    </w:p>
    <w:p w14:paraId="16A0D31F" w14:textId="77777777" w:rsidR="00AE4F53" w:rsidRPr="008270B7" w:rsidRDefault="00AE4F53" w:rsidP="008270B7">
      <w:pPr>
        <w:tabs>
          <w:tab w:val="left" w:pos="-1134"/>
        </w:tabs>
        <w:ind w:right="356"/>
        <w:jc w:val="both"/>
        <w:rPr>
          <w:rFonts w:cs="Arial"/>
          <w:color w:val="000000" w:themeColor="text1"/>
          <w:sz w:val="16"/>
          <w:szCs w:val="16"/>
        </w:rPr>
      </w:pPr>
      <w:r w:rsidRPr="008270B7">
        <w:rPr>
          <w:rFonts w:cs="Arial"/>
          <w:color w:val="000000" w:themeColor="text1"/>
          <w:sz w:val="16"/>
          <w:szCs w:val="16"/>
        </w:rPr>
        <w:t>F3000-81 Nómina de reaseguros -contratos de reaseguros proporcionales y no proporcionales-</w:t>
      </w:r>
    </w:p>
    <w:p w14:paraId="32D0195D" w14:textId="77777777" w:rsidR="00AE4F53" w:rsidRPr="008270B7" w:rsidRDefault="00AE4F53" w:rsidP="008270B7">
      <w:pPr>
        <w:tabs>
          <w:tab w:val="left" w:pos="-1134"/>
        </w:tabs>
        <w:ind w:right="356"/>
        <w:jc w:val="both"/>
        <w:rPr>
          <w:rFonts w:cs="Arial"/>
          <w:color w:val="000000" w:themeColor="text1"/>
          <w:sz w:val="16"/>
          <w:szCs w:val="16"/>
        </w:rPr>
      </w:pPr>
    </w:p>
    <w:p w14:paraId="7469DB1A" w14:textId="77777777" w:rsidR="00AE4F53" w:rsidRPr="008270B7" w:rsidRDefault="00AE4F53" w:rsidP="008270B7">
      <w:pPr>
        <w:tabs>
          <w:tab w:val="left" w:pos="-1134"/>
          <w:tab w:val="left" w:pos="8789"/>
        </w:tabs>
        <w:ind w:right="51"/>
        <w:jc w:val="both"/>
        <w:rPr>
          <w:rFonts w:cs="Arial"/>
          <w:color w:val="000000" w:themeColor="text1"/>
          <w:sz w:val="16"/>
          <w:szCs w:val="16"/>
        </w:rPr>
      </w:pPr>
      <w:r w:rsidRPr="008270B7">
        <w:rPr>
          <w:rFonts w:cs="Arial"/>
          <w:color w:val="000000" w:themeColor="text1"/>
          <w:sz w:val="16"/>
          <w:szCs w:val="16"/>
        </w:rPr>
        <w:t xml:space="preserve">Las entidades aseguradoras deben remitir a esta Superintendencia de manera trimestral y en la fecha prevista para la transmisión de los estados financieros intermedios y de fin de ejercicio, la información relacionada con los saldos de reaseguro en la proforma F3000-86 saldos cuenta corriente y reserva para siniestros parte reaseguradores.  </w:t>
      </w:r>
      <w:bookmarkStart w:id="6" w:name="_Toc269950160"/>
    </w:p>
    <w:p w14:paraId="1C0757E1" w14:textId="77777777" w:rsidR="00AE4F53" w:rsidRPr="008270B7" w:rsidRDefault="00AE4F53" w:rsidP="008270B7">
      <w:pPr>
        <w:tabs>
          <w:tab w:val="left" w:pos="-1134"/>
          <w:tab w:val="left" w:pos="8789"/>
        </w:tabs>
        <w:ind w:right="51"/>
        <w:jc w:val="both"/>
        <w:rPr>
          <w:rFonts w:cs="Arial"/>
          <w:iCs/>
          <w:color w:val="000000" w:themeColor="text1"/>
          <w:sz w:val="16"/>
          <w:szCs w:val="16"/>
        </w:rPr>
      </w:pPr>
    </w:p>
    <w:p w14:paraId="60C307B6" w14:textId="77777777" w:rsidR="00AE4F53" w:rsidRPr="008270B7" w:rsidRDefault="00AE4F53" w:rsidP="008270B7">
      <w:pPr>
        <w:tabs>
          <w:tab w:val="left" w:pos="-1134"/>
          <w:tab w:val="left" w:pos="8789"/>
        </w:tabs>
        <w:ind w:right="51"/>
        <w:jc w:val="both"/>
        <w:rPr>
          <w:rFonts w:cs="Arial"/>
          <w:iCs/>
          <w:color w:val="000000" w:themeColor="text1"/>
          <w:sz w:val="16"/>
          <w:szCs w:val="16"/>
        </w:rPr>
      </w:pPr>
      <w:r w:rsidRPr="008270B7">
        <w:rPr>
          <w:rFonts w:cs="Arial"/>
          <w:iCs/>
          <w:color w:val="000000" w:themeColor="text1"/>
          <w:sz w:val="16"/>
          <w:szCs w:val="16"/>
        </w:rPr>
        <w:t>1.7. Prácticas inseguras en la contratación de seguros</w:t>
      </w:r>
      <w:bookmarkEnd w:id="6"/>
      <w:r w:rsidRPr="008270B7">
        <w:rPr>
          <w:rFonts w:cs="Arial"/>
          <w:iCs/>
          <w:color w:val="000000" w:themeColor="text1"/>
          <w:sz w:val="16"/>
          <w:szCs w:val="16"/>
        </w:rPr>
        <w:t xml:space="preserve"> </w:t>
      </w:r>
    </w:p>
    <w:p w14:paraId="350BBB11" w14:textId="77777777" w:rsidR="00AE4F53" w:rsidRPr="008270B7" w:rsidRDefault="00AE4F53" w:rsidP="008270B7">
      <w:pPr>
        <w:tabs>
          <w:tab w:val="left" w:pos="720"/>
        </w:tabs>
        <w:jc w:val="both"/>
        <w:rPr>
          <w:rFonts w:cs="Arial"/>
          <w:color w:val="000000" w:themeColor="text1"/>
          <w:sz w:val="16"/>
          <w:szCs w:val="16"/>
        </w:rPr>
      </w:pPr>
    </w:p>
    <w:p w14:paraId="1E144EE0" w14:textId="77777777" w:rsidR="00AE4F53" w:rsidRPr="008270B7" w:rsidRDefault="00AE4F53" w:rsidP="008270B7">
      <w:pPr>
        <w:tabs>
          <w:tab w:val="left" w:pos="720"/>
        </w:tabs>
        <w:jc w:val="both"/>
        <w:rPr>
          <w:rFonts w:cs="Arial"/>
          <w:color w:val="000000" w:themeColor="text1"/>
          <w:sz w:val="16"/>
          <w:szCs w:val="16"/>
        </w:rPr>
      </w:pPr>
      <w:r w:rsidRPr="008270B7">
        <w:rPr>
          <w:rFonts w:cs="Arial"/>
          <w:color w:val="000000" w:themeColor="text1"/>
          <w:sz w:val="16"/>
          <w:szCs w:val="16"/>
        </w:rPr>
        <w:t>Se consideran como prácticas inseguras y no autorizadas, las siguientes conductas:</w:t>
      </w:r>
    </w:p>
    <w:p w14:paraId="0C2296BC" w14:textId="77777777" w:rsidR="00AE4F53" w:rsidRPr="008270B7" w:rsidRDefault="00AE4F53" w:rsidP="008270B7">
      <w:pPr>
        <w:tabs>
          <w:tab w:val="left" w:pos="720"/>
        </w:tabs>
        <w:jc w:val="both"/>
        <w:rPr>
          <w:rFonts w:cs="Arial"/>
          <w:color w:val="000000" w:themeColor="text1"/>
          <w:sz w:val="16"/>
          <w:szCs w:val="16"/>
        </w:rPr>
      </w:pPr>
    </w:p>
    <w:p w14:paraId="25FD55FB" w14:textId="77777777" w:rsidR="00AE4F53" w:rsidRPr="008270B7" w:rsidRDefault="00AE4F53" w:rsidP="008270B7">
      <w:pPr>
        <w:tabs>
          <w:tab w:val="left" w:pos="284"/>
          <w:tab w:val="left" w:pos="720"/>
        </w:tabs>
        <w:jc w:val="both"/>
        <w:rPr>
          <w:rFonts w:cs="Arial"/>
          <w:color w:val="000000" w:themeColor="text1"/>
          <w:sz w:val="16"/>
          <w:szCs w:val="16"/>
        </w:rPr>
      </w:pPr>
      <w:r w:rsidRPr="008270B7">
        <w:rPr>
          <w:rFonts w:cs="Arial"/>
          <w:color w:val="000000" w:themeColor="text1"/>
          <w:sz w:val="16"/>
          <w:szCs w:val="16"/>
        </w:rPr>
        <w:t xml:space="preserve">1.7.1. Expedir notas de cobertura que no identifiquen los textos de los amparos con los códigos dispuestos en este Capítulo. </w:t>
      </w:r>
    </w:p>
    <w:p w14:paraId="02D8540E" w14:textId="77777777" w:rsidR="00AE4F53" w:rsidRPr="008270B7" w:rsidRDefault="00AE4F53" w:rsidP="008270B7">
      <w:pPr>
        <w:tabs>
          <w:tab w:val="left" w:pos="284"/>
          <w:tab w:val="left" w:pos="720"/>
        </w:tabs>
        <w:jc w:val="both"/>
        <w:rPr>
          <w:rFonts w:cs="Arial"/>
          <w:color w:val="000000" w:themeColor="text1"/>
          <w:sz w:val="16"/>
          <w:szCs w:val="16"/>
        </w:rPr>
      </w:pPr>
    </w:p>
    <w:p w14:paraId="401D56B5" w14:textId="77777777" w:rsidR="00AE4F53" w:rsidRPr="008270B7" w:rsidRDefault="00AE4F53" w:rsidP="008270B7">
      <w:pPr>
        <w:tabs>
          <w:tab w:val="left" w:pos="284"/>
          <w:tab w:val="left" w:pos="720"/>
        </w:tabs>
        <w:jc w:val="both"/>
        <w:rPr>
          <w:rFonts w:cs="Arial"/>
          <w:color w:val="000000" w:themeColor="text1"/>
          <w:sz w:val="16"/>
          <w:szCs w:val="16"/>
        </w:rPr>
      </w:pPr>
      <w:r w:rsidRPr="008270B7">
        <w:rPr>
          <w:rFonts w:cs="Arial"/>
          <w:color w:val="000000" w:themeColor="text1"/>
          <w:sz w:val="16"/>
          <w:szCs w:val="16"/>
        </w:rPr>
        <w:t xml:space="preserve">1.7.2. Utilizar códigos de formas que no hayan sido enviadas previamente a la SFC. </w:t>
      </w:r>
    </w:p>
    <w:p w14:paraId="40942B62" w14:textId="77777777" w:rsidR="00AE4F53" w:rsidRPr="008270B7" w:rsidRDefault="00AE4F53" w:rsidP="008270B7">
      <w:pPr>
        <w:tabs>
          <w:tab w:val="left" w:pos="720"/>
        </w:tabs>
        <w:jc w:val="both"/>
        <w:rPr>
          <w:rFonts w:cs="Arial"/>
          <w:color w:val="000000" w:themeColor="text1"/>
          <w:sz w:val="16"/>
          <w:szCs w:val="16"/>
        </w:rPr>
      </w:pPr>
    </w:p>
    <w:p w14:paraId="0F511FFA"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r w:rsidRPr="008270B7">
        <w:rPr>
          <w:rFonts w:cs="Arial"/>
          <w:color w:val="000000" w:themeColor="text1"/>
          <w:sz w:val="16"/>
          <w:szCs w:val="16"/>
        </w:rPr>
        <w:t xml:space="preserve">1.7.3. Proveer al asegurado de información inexacta respecto del contenido del texto referenciado y enviado a la SFC. </w:t>
      </w:r>
    </w:p>
    <w:p w14:paraId="36447756"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p>
    <w:p w14:paraId="7BA2FCF3" w14:textId="77777777" w:rsidR="00AE4F53" w:rsidRPr="008270B7" w:rsidRDefault="00AE4F53" w:rsidP="008270B7">
      <w:pPr>
        <w:tabs>
          <w:tab w:val="left" w:pos="720"/>
          <w:tab w:val="left" w:pos="1064"/>
          <w:tab w:val="left" w:pos="2057"/>
        </w:tabs>
        <w:ind w:right="356"/>
        <w:jc w:val="both"/>
        <w:rPr>
          <w:rFonts w:cs="Arial"/>
          <w:color w:val="000000" w:themeColor="text1"/>
          <w:sz w:val="16"/>
          <w:szCs w:val="16"/>
        </w:rPr>
      </w:pPr>
      <w:r w:rsidRPr="008270B7">
        <w:rPr>
          <w:rFonts w:cs="Arial"/>
          <w:color w:val="000000" w:themeColor="text1"/>
          <w:sz w:val="16"/>
          <w:szCs w:val="16"/>
        </w:rPr>
        <w:t>1.7.4. Utilizar en las notas de cobertura proformas de entidades diferentes a las que expiden el documento.</w:t>
      </w:r>
    </w:p>
    <w:p w14:paraId="36CEE6E5" w14:textId="77777777" w:rsidR="00AE4F53" w:rsidRPr="008270B7" w:rsidRDefault="00AE4F53" w:rsidP="008270B7">
      <w:pPr>
        <w:tabs>
          <w:tab w:val="left" w:pos="720"/>
        </w:tabs>
        <w:jc w:val="both"/>
        <w:rPr>
          <w:rFonts w:cs="Arial"/>
          <w:color w:val="000000" w:themeColor="text1"/>
          <w:sz w:val="16"/>
          <w:szCs w:val="16"/>
        </w:rPr>
      </w:pPr>
    </w:p>
    <w:p w14:paraId="3A7CB955" w14:textId="77777777" w:rsidR="00AE4F53" w:rsidRPr="008270B7" w:rsidRDefault="00AE4F53" w:rsidP="008270B7">
      <w:pPr>
        <w:tabs>
          <w:tab w:val="left" w:pos="284"/>
          <w:tab w:val="left" w:pos="720"/>
        </w:tabs>
        <w:jc w:val="both"/>
        <w:rPr>
          <w:rFonts w:cs="Arial"/>
          <w:color w:val="000000" w:themeColor="text1"/>
          <w:sz w:val="16"/>
          <w:szCs w:val="16"/>
        </w:rPr>
      </w:pPr>
      <w:r w:rsidRPr="008270B7">
        <w:rPr>
          <w:rFonts w:cs="Arial"/>
          <w:color w:val="000000" w:themeColor="text1"/>
          <w:sz w:val="16"/>
          <w:szCs w:val="16"/>
        </w:rPr>
        <w:t xml:space="preserve">1.7.5. Usar notas de cobertura para pólizas no depositadas o cuyo texto no se incorpore en la misma nota de cobertura o en sus anexos.  </w:t>
      </w:r>
    </w:p>
    <w:p w14:paraId="5DDEB90F" w14:textId="77777777" w:rsidR="00AE4F53" w:rsidRPr="008270B7" w:rsidRDefault="00AE4F53" w:rsidP="008270B7">
      <w:pPr>
        <w:tabs>
          <w:tab w:val="left" w:pos="720"/>
        </w:tabs>
        <w:jc w:val="both"/>
        <w:rPr>
          <w:rFonts w:cs="Arial"/>
          <w:color w:val="000000" w:themeColor="text1"/>
          <w:sz w:val="16"/>
          <w:szCs w:val="16"/>
        </w:rPr>
      </w:pPr>
    </w:p>
    <w:p w14:paraId="40141145" w14:textId="446E63B8" w:rsidR="009A22D9" w:rsidRPr="008270B7" w:rsidRDefault="00AE4F53" w:rsidP="008270B7">
      <w:pPr>
        <w:autoSpaceDE w:val="0"/>
        <w:autoSpaceDN w:val="0"/>
        <w:adjustRightInd w:val="0"/>
        <w:jc w:val="both"/>
        <w:rPr>
          <w:rFonts w:cs="Arial"/>
          <w:sz w:val="16"/>
          <w:szCs w:val="16"/>
        </w:rPr>
      </w:pPr>
      <w:r w:rsidRPr="008270B7">
        <w:rPr>
          <w:rFonts w:cs="Arial"/>
          <w:color w:val="000000" w:themeColor="text1"/>
          <w:sz w:val="16"/>
          <w:szCs w:val="16"/>
        </w:rPr>
        <w:t>1.7.6. La participación en consorcios o uniones temporales cuando quiera que la entidad no cuenta con autorización para la operación de alguno de los ramos involucrados</w:t>
      </w:r>
    </w:p>
    <w:p w14:paraId="5CE751D7" w14:textId="77777777" w:rsidR="009A22D9" w:rsidRPr="008270B7" w:rsidRDefault="009A22D9" w:rsidP="008270B7">
      <w:pPr>
        <w:jc w:val="both"/>
        <w:rPr>
          <w:rFonts w:cs="Arial"/>
          <w:sz w:val="16"/>
          <w:szCs w:val="16"/>
          <w:lang w:val="es-MX"/>
        </w:rPr>
      </w:pPr>
    </w:p>
    <w:p w14:paraId="313B93C7" w14:textId="77777777" w:rsidR="00FB1E7D" w:rsidRPr="008270B7" w:rsidRDefault="00FB1E7D" w:rsidP="008270B7">
      <w:pPr>
        <w:tabs>
          <w:tab w:val="left" w:pos="720"/>
        </w:tabs>
        <w:jc w:val="both"/>
        <w:rPr>
          <w:rFonts w:cs="Arial"/>
          <w:sz w:val="16"/>
          <w:szCs w:val="16"/>
        </w:rPr>
      </w:pPr>
      <w:r w:rsidRPr="008270B7">
        <w:rPr>
          <w:rFonts w:cs="Arial"/>
          <w:sz w:val="16"/>
          <w:szCs w:val="16"/>
        </w:rPr>
        <w:t xml:space="preserve"> </w:t>
      </w:r>
    </w:p>
    <w:p w14:paraId="55A0F7A2" w14:textId="77777777" w:rsidR="009A22D9" w:rsidRPr="008270B7" w:rsidRDefault="009A22D9" w:rsidP="008270B7">
      <w:pPr>
        <w:tabs>
          <w:tab w:val="left" w:pos="720"/>
        </w:tabs>
        <w:jc w:val="both"/>
        <w:rPr>
          <w:rFonts w:cs="Arial"/>
          <w:sz w:val="16"/>
          <w:szCs w:val="16"/>
        </w:rPr>
        <w:sectPr w:rsidR="009A22D9" w:rsidRPr="008270B7" w:rsidSect="00697CF2">
          <w:headerReference w:type="first" r:id="rId41"/>
          <w:footerReference w:type="first" r:id="rId42"/>
          <w:pgSz w:w="12240" w:h="18720" w:code="257"/>
          <w:pgMar w:top="1417" w:right="1701" w:bottom="1417" w:left="1701" w:header="709" w:footer="865" w:gutter="0"/>
          <w:cols w:space="708"/>
          <w:titlePg/>
          <w:docGrid w:linePitch="360"/>
        </w:sectPr>
      </w:pPr>
    </w:p>
    <w:p w14:paraId="1B48E07D" w14:textId="77777777" w:rsidR="00FB1E7D" w:rsidRPr="008270B7" w:rsidRDefault="00FB1E7D" w:rsidP="008270B7">
      <w:pPr>
        <w:pStyle w:val="Ttulo2"/>
        <w:jc w:val="both"/>
        <w:rPr>
          <w:b w:val="0"/>
          <w:bCs w:val="0"/>
          <w:szCs w:val="16"/>
        </w:rPr>
      </w:pPr>
      <w:bookmarkStart w:id="7" w:name="_Toc269950161"/>
      <w:r w:rsidRPr="008270B7">
        <w:rPr>
          <w:b w:val="0"/>
          <w:bCs w:val="0"/>
          <w:szCs w:val="16"/>
        </w:rPr>
        <w:lastRenderedPageBreak/>
        <w:t>1.8. Criterios y elementos mínimos de las notas técnicas</w:t>
      </w:r>
    </w:p>
    <w:p w14:paraId="55D8DEB2" w14:textId="77777777" w:rsidR="00FB1E7D" w:rsidRPr="008270B7" w:rsidRDefault="00FB1E7D" w:rsidP="008270B7">
      <w:pPr>
        <w:autoSpaceDE w:val="0"/>
        <w:autoSpaceDN w:val="0"/>
        <w:adjustRightInd w:val="0"/>
        <w:jc w:val="both"/>
        <w:rPr>
          <w:rFonts w:cs="Arial"/>
          <w:sz w:val="16"/>
          <w:szCs w:val="16"/>
        </w:rPr>
      </w:pPr>
    </w:p>
    <w:p w14:paraId="7BE430D8"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 xml:space="preserve">La nota técnica es el documento que describe y sustenta las metodologías utilizadas para el cálculo de las primas y/o reservas de las entidades aseguradoras. Para tal efecto, se considera necesario </w:t>
      </w:r>
      <w:r w:rsidRPr="008270B7">
        <w:rPr>
          <w:rFonts w:cs="Arial"/>
          <w:sz w:val="16"/>
          <w:szCs w:val="16"/>
          <w:lang w:val="es-CO"/>
        </w:rPr>
        <w:t>identificar</w:t>
      </w:r>
      <w:r w:rsidRPr="008270B7">
        <w:rPr>
          <w:rFonts w:cs="Arial"/>
          <w:sz w:val="16"/>
          <w:szCs w:val="16"/>
        </w:rPr>
        <w:t xml:space="preserve"> los principios y elementos que deben ser considerados en la elaboración de </w:t>
      </w:r>
      <w:proofErr w:type="gramStart"/>
      <w:r w:rsidRPr="008270B7">
        <w:rPr>
          <w:rFonts w:cs="Arial"/>
          <w:sz w:val="16"/>
          <w:szCs w:val="16"/>
        </w:rPr>
        <w:t>las mismas</w:t>
      </w:r>
      <w:proofErr w:type="gramEnd"/>
      <w:r w:rsidRPr="008270B7">
        <w:rPr>
          <w:rFonts w:cs="Arial"/>
          <w:sz w:val="16"/>
          <w:szCs w:val="16"/>
        </w:rPr>
        <w:t>, estableciendo características comunes para la sustentación de tarifas, conservando el rigor en la descripción de metodologías, hipótesis, información utilizada, entre otros.</w:t>
      </w:r>
    </w:p>
    <w:p w14:paraId="7C32DB08" w14:textId="77777777" w:rsidR="00BC3E4E" w:rsidRPr="008270B7" w:rsidRDefault="00BC3E4E" w:rsidP="008270B7">
      <w:pPr>
        <w:autoSpaceDE w:val="0"/>
        <w:autoSpaceDN w:val="0"/>
        <w:adjustRightInd w:val="0"/>
        <w:jc w:val="both"/>
        <w:rPr>
          <w:rFonts w:cs="Arial"/>
          <w:sz w:val="16"/>
          <w:szCs w:val="16"/>
        </w:rPr>
      </w:pPr>
    </w:p>
    <w:p w14:paraId="4609B8D1" w14:textId="06EB13C5" w:rsidR="00FB1E7D" w:rsidRPr="008270B7" w:rsidRDefault="00FB1E7D" w:rsidP="008270B7">
      <w:pPr>
        <w:autoSpaceDE w:val="0"/>
        <w:autoSpaceDN w:val="0"/>
        <w:adjustRightInd w:val="0"/>
        <w:jc w:val="both"/>
        <w:rPr>
          <w:rFonts w:cs="Arial"/>
          <w:sz w:val="16"/>
          <w:szCs w:val="16"/>
        </w:rPr>
      </w:pPr>
      <w:r w:rsidRPr="008270B7">
        <w:rPr>
          <w:rFonts w:cs="Arial"/>
          <w:sz w:val="16"/>
          <w:szCs w:val="16"/>
        </w:rPr>
        <w:t xml:space="preserve">La nota técnica debe presentar de manera clara la información, supuestos y métodos utilizados en la tarifación, de tal forma que un actuario pueda evaluar su validez. Adicionalmente, la información, hojas de cálculo y cualquier otra documentación relevante en la tarifación deben mantenerse por un periodo no inferior a 10 años, contados desde la fecha de presentación de la nota, y ponerse a disposición del supervisor </w:t>
      </w:r>
      <w:r w:rsidR="006B0E65" w:rsidRPr="008270B7">
        <w:rPr>
          <w:rFonts w:cs="Arial"/>
          <w:sz w:val="16"/>
          <w:szCs w:val="16"/>
        </w:rPr>
        <w:t>en caso de que</w:t>
      </w:r>
      <w:r w:rsidRPr="008270B7">
        <w:rPr>
          <w:rFonts w:cs="Arial"/>
          <w:sz w:val="16"/>
          <w:szCs w:val="16"/>
        </w:rPr>
        <w:t xml:space="preserve"> éste la requiera.</w:t>
      </w:r>
    </w:p>
    <w:p w14:paraId="7E040DF4" w14:textId="77777777" w:rsidR="00FB1E7D" w:rsidRPr="008270B7" w:rsidRDefault="00FB1E7D" w:rsidP="008270B7">
      <w:pPr>
        <w:autoSpaceDE w:val="0"/>
        <w:autoSpaceDN w:val="0"/>
        <w:adjustRightInd w:val="0"/>
        <w:jc w:val="both"/>
        <w:rPr>
          <w:rFonts w:cs="Arial"/>
          <w:sz w:val="16"/>
          <w:szCs w:val="16"/>
        </w:rPr>
      </w:pPr>
    </w:p>
    <w:p w14:paraId="7C983649" w14:textId="77777777" w:rsidR="00FB1E7D" w:rsidRPr="008270B7" w:rsidRDefault="00FB1E7D" w:rsidP="008270B7">
      <w:pPr>
        <w:autoSpaceDE w:val="0"/>
        <w:autoSpaceDN w:val="0"/>
        <w:adjustRightInd w:val="0"/>
        <w:jc w:val="both"/>
        <w:rPr>
          <w:rFonts w:cs="Arial"/>
          <w:sz w:val="16"/>
          <w:szCs w:val="16"/>
        </w:rPr>
      </w:pPr>
      <w:r w:rsidRPr="008270B7">
        <w:rPr>
          <w:rFonts w:cs="Arial"/>
          <w:iCs/>
          <w:sz w:val="16"/>
          <w:szCs w:val="16"/>
        </w:rPr>
        <w:t>Terminología y notación: L</w:t>
      </w:r>
      <w:r w:rsidRPr="008270B7">
        <w:rPr>
          <w:rFonts w:cs="Arial"/>
          <w:sz w:val="16"/>
          <w:szCs w:val="16"/>
        </w:rPr>
        <w:t>a nota técnica debe ajustarse a la notación actuarial reconocida internacionalmente. Si se requiere terminología o notación matemática, estadística, financiera o actuarial adicional, debe ser explícitamente definida.</w:t>
      </w:r>
    </w:p>
    <w:p w14:paraId="7667770B"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 xml:space="preserve">Principios: Los estudios técnicos y estadísticos en que se sustenten los resultados de la nota técnica deben observar los principios de equidad, suficiencia, homogeneidad y representatividad en los términos del numeral 3 del art. 184 del EOSF. De igual forma, en los casos de riesgos especiales se podrá aplicar lo dispuesto en el literal c., numeral 3 del art. 184 del EOSF.  </w:t>
      </w:r>
    </w:p>
    <w:p w14:paraId="7A4EC9D1" w14:textId="77777777" w:rsidR="00FB1E7D" w:rsidRPr="008270B7" w:rsidRDefault="00FB1E7D" w:rsidP="008270B7">
      <w:pPr>
        <w:autoSpaceDE w:val="0"/>
        <w:autoSpaceDN w:val="0"/>
        <w:adjustRightInd w:val="0"/>
        <w:jc w:val="both"/>
        <w:rPr>
          <w:rFonts w:cs="Arial"/>
          <w:sz w:val="16"/>
          <w:szCs w:val="16"/>
        </w:rPr>
      </w:pPr>
    </w:p>
    <w:p w14:paraId="3BA15BA0" w14:textId="77777777" w:rsidR="00FB1E7D" w:rsidRPr="008270B7" w:rsidRDefault="00FB1E7D" w:rsidP="008270B7">
      <w:pPr>
        <w:jc w:val="both"/>
        <w:rPr>
          <w:rFonts w:cs="Arial"/>
          <w:sz w:val="16"/>
          <w:szCs w:val="16"/>
        </w:rPr>
      </w:pPr>
      <w:r w:rsidRPr="008270B7">
        <w:rPr>
          <w:rFonts w:cs="Arial"/>
          <w:sz w:val="16"/>
          <w:szCs w:val="16"/>
        </w:rPr>
        <w:t xml:space="preserve">Alcance: Toda solicitud de autorización de una nueva aseguradora o ramo, así como la remisión de un nuevo producto y/o amparo adicional, o sus modificaciones, deben estar acompañadas de su respectiva nota técnica. </w:t>
      </w:r>
    </w:p>
    <w:p w14:paraId="3844D6FA" w14:textId="77777777" w:rsidR="00FB1E7D" w:rsidRPr="008270B7" w:rsidRDefault="00FB1E7D" w:rsidP="008270B7">
      <w:pPr>
        <w:jc w:val="both"/>
        <w:rPr>
          <w:rFonts w:cs="Arial"/>
          <w:sz w:val="16"/>
          <w:szCs w:val="16"/>
        </w:rPr>
      </w:pPr>
    </w:p>
    <w:p w14:paraId="43F80418" w14:textId="77777777" w:rsidR="00FB1E7D" w:rsidRPr="008270B7" w:rsidRDefault="00FB1E7D" w:rsidP="008270B7">
      <w:pPr>
        <w:jc w:val="both"/>
        <w:rPr>
          <w:rFonts w:cs="Arial"/>
          <w:sz w:val="16"/>
          <w:szCs w:val="16"/>
        </w:rPr>
      </w:pPr>
      <w:r w:rsidRPr="008270B7">
        <w:rPr>
          <w:rFonts w:cs="Arial"/>
          <w:sz w:val="16"/>
          <w:szCs w:val="16"/>
        </w:rPr>
        <w:t>Es deber de la aseguradora mantener actualizadas sus notas técnicas y tarifas, así como la remisión oportuna de dichas actualizaciones a esta Superintendencia.</w:t>
      </w:r>
    </w:p>
    <w:p w14:paraId="1CC1ED4E" w14:textId="77777777" w:rsidR="00FB1E7D" w:rsidRPr="008270B7" w:rsidRDefault="00FB1E7D" w:rsidP="008270B7">
      <w:pPr>
        <w:autoSpaceDE w:val="0"/>
        <w:autoSpaceDN w:val="0"/>
        <w:adjustRightInd w:val="0"/>
        <w:jc w:val="both"/>
        <w:rPr>
          <w:rFonts w:cs="Arial"/>
          <w:sz w:val="16"/>
          <w:szCs w:val="16"/>
        </w:rPr>
      </w:pPr>
    </w:p>
    <w:p w14:paraId="56B981FB"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La nota técnica debe contener los aspectos que se señalan a continuación:</w:t>
      </w:r>
    </w:p>
    <w:p w14:paraId="25BC6050" w14:textId="77777777" w:rsidR="00FB1E7D" w:rsidRPr="008270B7" w:rsidRDefault="00FB1E7D" w:rsidP="008270B7">
      <w:pPr>
        <w:autoSpaceDE w:val="0"/>
        <w:autoSpaceDN w:val="0"/>
        <w:adjustRightInd w:val="0"/>
        <w:jc w:val="both"/>
        <w:rPr>
          <w:rFonts w:cs="Arial"/>
          <w:sz w:val="16"/>
          <w:szCs w:val="16"/>
        </w:rPr>
      </w:pPr>
    </w:p>
    <w:p w14:paraId="46C7A6A4"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1.8.1 Identificación de la nota técnica</w:t>
      </w:r>
    </w:p>
    <w:p w14:paraId="7450C9A7" w14:textId="77777777" w:rsidR="00FB1E7D" w:rsidRPr="008270B7" w:rsidRDefault="00FB1E7D" w:rsidP="008270B7">
      <w:pPr>
        <w:autoSpaceDE w:val="0"/>
        <w:autoSpaceDN w:val="0"/>
        <w:adjustRightInd w:val="0"/>
        <w:jc w:val="both"/>
        <w:rPr>
          <w:rFonts w:cs="Arial"/>
          <w:sz w:val="16"/>
          <w:szCs w:val="16"/>
        </w:rPr>
      </w:pPr>
    </w:p>
    <w:p w14:paraId="5A54F0F8"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1.8.1.1. Nombre de la entidad.</w:t>
      </w:r>
    </w:p>
    <w:p w14:paraId="07AD4A1E" w14:textId="77777777" w:rsidR="00FB1E7D" w:rsidRPr="008270B7" w:rsidRDefault="00FB1E7D" w:rsidP="008270B7">
      <w:pPr>
        <w:autoSpaceDE w:val="0"/>
        <w:autoSpaceDN w:val="0"/>
        <w:adjustRightInd w:val="0"/>
        <w:jc w:val="both"/>
        <w:rPr>
          <w:rFonts w:cs="Arial"/>
          <w:sz w:val="16"/>
          <w:szCs w:val="16"/>
        </w:rPr>
      </w:pPr>
    </w:p>
    <w:p w14:paraId="1E010338"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1.8.1.2. Código de la nota técnica: La nota técnica debe enviarse impresa y en medio digital, registrando en la parte inferior de cada página del documento el código de la nota técnica de acuerdo con los siguientes criterios:</w:t>
      </w:r>
    </w:p>
    <w:p w14:paraId="27E5362A" w14:textId="77777777" w:rsidR="00FB1E7D" w:rsidRPr="008270B7" w:rsidRDefault="00FB1E7D" w:rsidP="008270B7">
      <w:pPr>
        <w:autoSpaceDE w:val="0"/>
        <w:autoSpaceDN w:val="0"/>
        <w:adjustRightInd w:val="0"/>
        <w:jc w:val="both"/>
        <w:rPr>
          <w:rFonts w:cs="Arial"/>
          <w:sz w:val="16"/>
          <w:szCs w:val="16"/>
        </w:rPr>
      </w:pPr>
    </w:p>
    <w:tbl>
      <w:tblPr>
        <w:tblpPr w:leftFromText="141" w:rightFromText="141" w:vertAnchor="text" w:horzAnchor="margin" w:tblpY="110"/>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71"/>
        <w:gridCol w:w="1472"/>
        <w:gridCol w:w="1472"/>
        <w:gridCol w:w="1470"/>
        <w:gridCol w:w="1472"/>
        <w:gridCol w:w="1468"/>
      </w:tblGrid>
      <w:tr w:rsidR="00FB1E7D" w:rsidRPr="008270B7" w14:paraId="2030052C" w14:textId="77777777" w:rsidTr="006368D1">
        <w:tc>
          <w:tcPr>
            <w:tcW w:w="833" w:type="pct"/>
          </w:tcPr>
          <w:p w14:paraId="1F5BB34A" w14:textId="77777777" w:rsidR="00FB1E7D" w:rsidRPr="008270B7" w:rsidRDefault="00FB1E7D" w:rsidP="008270B7">
            <w:pPr>
              <w:tabs>
                <w:tab w:val="left" w:pos="720"/>
              </w:tabs>
              <w:jc w:val="center"/>
              <w:rPr>
                <w:rFonts w:cs="Arial"/>
                <w:sz w:val="16"/>
                <w:szCs w:val="16"/>
              </w:rPr>
            </w:pPr>
            <w:r w:rsidRPr="008270B7">
              <w:rPr>
                <w:rFonts w:cs="Arial"/>
                <w:sz w:val="16"/>
                <w:szCs w:val="16"/>
              </w:rPr>
              <w:t>Campo</w:t>
            </w:r>
          </w:p>
        </w:tc>
        <w:tc>
          <w:tcPr>
            <w:tcW w:w="834" w:type="pct"/>
          </w:tcPr>
          <w:p w14:paraId="1BF9E30B" w14:textId="77777777" w:rsidR="00FB1E7D" w:rsidRPr="008270B7" w:rsidRDefault="00FB1E7D" w:rsidP="008270B7">
            <w:pPr>
              <w:tabs>
                <w:tab w:val="left" w:pos="720"/>
              </w:tabs>
              <w:jc w:val="center"/>
              <w:rPr>
                <w:rFonts w:cs="Arial"/>
                <w:sz w:val="16"/>
                <w:szCs w:val="16"/>
              </w:rPr>
            </w:pPr>
            <w:r w:rsidRPr="008270B7">
              <w:rPr>
                <w:rFonts w:cs="Arial"/>
                <w:sz w:val="16"/>
                <w:szCs w:val="16"/>
              </w:rPr>
              <w:t>1</w:t>
            </w:r>
          </w:p>
        </w:tc>
        <w:tc>
          <w:tcPr>
            <w:tcW w:w="834" w:type="pct"/>
          </w:tcPr>
          <w:p w14:paraId="5C87E992" w14:textId="77777777" w:rsidR="00FB1E7D" w:rsidRPr="008270B7" w:rsidRDefault="00FB1E7D" w:rsidP="008270B7">
            <w:pPr>
              <w:tabs>
                <w:tab w:val="left" w:pos="720"/>
              </w:tabs>
              <w:jc w:val="center"/>
              <w:rPr>
                <w:rFonts w:cs="Arial"/>
                <w:sz w:val="16"/>
                <w:szCs w:val="16"/>
              </w:rPr>
            </w:pPr>
            <w:r w:rsidRPr="008270B7">
              <w:rPr>
                <w:rFonts w:cs="Arial"/>
                <w:sz w:val="16"/>
                <w:szCs w:val="16"/>
              </w:rPr>
              <w:t>2</w:t>
            </w:r>
          </w:p>
        </w:tc>
        <w:tc>
          <w:tcPr>
            <w:tcW w:w="833" w:type="pct"/>
          </w:tcPr>
          <w:p w14:paraId="6518784E" w14:textId="77777777" w:rsidR="00FB1E7D" w:rsidRPr="008270B7" w:rsidRDefault="00FB1E7D" w:rsidP="008270B7">
            <w:pPr>
              <w:tabs>
                <w:tab w:val="left" w:pos="720"/>
              </w:tabs>
              <w:jc w:val="center"/>
              <w:rPr>
                <w:rFonts w:cs="Arial"/>
                <w:sz w:val="16"/>
                <w:szCs w:val="16"/>
              </w:rPr>
            </w:pPr>
            <w:r w:rsidRPr="008270B7">
              <w:rPr>
                <w:rFonts w:cs="Arial"/>
                <w:sz w:val="16"/>
                <w:szCs w:val="16"/>
              </w:rPr>
              <w:t>3</w:t>
            </w:r>
          </w:p>
        </w:tc>
        <w:tc>
          <w:tcPr>
            <w:tcW w:w="834" w:type="pct"/>
          </w:tcPr>
          <w:p w14:paraId="76CC223F" w14:textId="77777777" w:rsidR="00FB1E7D" w:rsidRPr="008270B7" w:rsidRDefault="00FB1E7D" w:rsidP="008270B7">
            <w:pPr>
              <w:tabs>
                <w:tab w:val="left" w:pos="720"/>
              </w:tabs>
              <w:jc w:val="center"/>
              <w:rPr>
                <w:rFonts w:cs="Arial"/>
                <w:sz w:val="16"/>
                <w:szCs w:val="16"/>
              </w:rPr>
            </w:pPr>
            <w:r w:rsidRPr="008270B7">
              <w:rPr>
                <w:rFonts w:cs="Arial"/>
                <w:sz w:val="16"/>
                <w:szCs w:val="16"/>
              </w:rPr>
              <w:t>4</w:t>
            </w:r>
          </w:p>
        </w:tc>
        <w:tc>
          <w:tcPr>
            <w:tcW w:w="832" w:type="pct"/>
          </w:tcPr>
          <w:p w14:paraId="104AC9E5" w14:textId="77777777" w:rsidR="00FB1E7D" w:rsidRPr="008270B7" w:rsidRDefault="00FB1E7D" w:rsidP="008270B7">
            <w:pPr>
              <w:tabs>
                <w:tab w:val="left" w:pos="720"/>
              </w:tabs>
              <w:jc w:val="center"/>
              <w:rPr>
                <w:rFonts w:cs="Arial"/>
                <w:sz w:val="16"/>
                <w:szCs w:val="16"/>
              </w:rPr>
            </w:pPr>
            <w:r w:rsidRPr="008270B7">
              <w:rPr>
                <w:rFonts w:cs="Arial"/>
                <w:sz w:val="16"/>
                <w:szCs w:val="16"/>
              </w:rPr>
              <w:t>5</w:t>
            </w:r>
          </w:p>
        </w:tc>
      </w:tr>
      <w:tr w:rsidR="00FB1E7D" w:rsidRPr="008270B7" w14:paraId="78510D6A" w14:textId="77777777" w:rsidTr="006368D1">
        <w:trPr>
          <w:trHeight w:val="317"/>
        </w:trPr>
        <w:tc>
          <w:tcPr>
            <w:tcW w:w="833" w:type="pct"/>
          </w:tcPr>
          <w:p w14:paraId="6D433E8D" w14:textId="77777777" w:rsidR="00FB1E7D" w:rsidRPr="008270B7" w:rsidRDefault="00FB1E7D" w:rsidP="008270B7">
            <w:pPr>
              <w:tabs>
                <w:tab w:val="left" w:pos="720"/>
              </w:tabs>
              <w:jc w:val="center"/>
              <w:rPr>
                <w:rFonts w:cs="Arial"/>
                <w:sz w:val="16"/>
                <w:szCs w:val="16"/>
              </w:rPr>
            </w:pPr>
            <w:r w:rsidRPr="008270B7">
              <w:rPr>
                <w:rFonts w:cs="Arial"/>
                <w:sz w:val="16"/>
                <w:szCs w:val="16"/>
              </w:rPr>
              <w:t>Descripción</w:t>
            </w:r>
          </w:p>
        </w:tc>
        <w:tc>
          <w:tcPr>
            <w:tcW w:w="834" w:type="pct"/>
          </w:tcPr>
          <w:p w14:paraId="47C391B2" w14:textId="77777777" w:rsidR="00FB1E7D" w:rsidRPr="008270B7" w:rsidRDefault="00FB1E7D" w:rsidP="008270B7">
            <w:pPr>
              <w:tabs>
                <w:tab w:val="left" w:pos="720"/>
              </w:tabs>
              <w:rPr>
                <w:rFonts w:cs="Arial"/>
                <w:sz w:val="16"/>
                <w:szCs w:val="16"/>
              </w:rPr>
            </w:pPr>
            <w:r w:rsidRPr="008270B7">
              <w:rPr>
                <w:rFonts w:cs="Arial"/>
                <w:sz w:val="16"/>
                <w:szCs w:val="16"/>
              </w:rPr>
              <w:t>Fecha a partir de la cual se utiliza</w:t>
            </w:r>
          </w:p>
        </w:tc>
        <w:tc>
          <w:tcPr>
            <w:tcW w:w="834" w:type="pct"/>
          </w:tcPr>
          <w:p w14:paraId="34B937DA" w14:textId="77777777" w:rsidR="00FB1E7D" w:rsidRPr="008270B7" w:rsidRDefault="00FB1E7D" w:rsidP="008270B7">
            <w:pPr>
              <w:tabs>
                <w:tab w:val="left" w:pos="720"/>
              </w:tabs>
              <w:rPr>
                <w:rFonts w:cs="Arial"/>
                <w:sz w:val="16"/>
                <w:szCs w:val="16"/>
              </w:rPr>
            </w:pPr>
            <w:r w:rsidRPr="008270B7">
              <w:rPr>
                <w:rFonts w:cs="Arial"/>
                <w:sz w:val="16"/>
                <w:szCs w:val="16"/>
              </w:rPr>
              <w:t>Tipo y número de la Entidad</w:t>
            </w:r>
          </w:p>
        </w:tc>
        <w:tc>
          <w:tcPr>
            <w:tcW w:w="833" w:type="pct"/>
          </w:tcPr>
          <w:p w14:paraId="40A06609" w14:textId="77777777" w:rsidR="00FB1E7D" w:rsidRPr="008270B7" w:rsidRDefault="00FB1E7D" w:rsidP="008270B7">
            <w:pPr>
              <w:tabs>
                <w:tab w:val="left" w:pos="720"/>
              </w:tabs>
              <w:rPr>
                <w:rFonts w:cs="Arial"/>
                <w:sz w:val="16"/>
                <w:szCs w:val="16"/>
              </w:rPr>
            </w:pPr>
            <w:r w:rsidRPr="008270B7">
              <w:rPr>
                <w:rFonts w:cs="Arial"/>
                <w:sz w:val="16"/>
                <w:szCs w:val="16"/>
              </w:rPr>
              <w:t>Tipo de documento</w:t>
            </w:r>
          </w:p>
        </w:tc>
        <w:tc>
          <w:tcPr>
            <w:tcW w:w="834" w:type="pct"/>
          </w:tcPr>
          <w:p w14:paraId="647737D1" w14:textId="77777777" w:rsidR="00FB1E7D" w:rsidRPr="008270B7" w:rsidRDefault="00FB1E7D" w:rsidP="008270B7">
            <w:pPr>
              <w:tabs>
                <w:tab w:val="left" w:pos="720"/>
              </w:tabs>
              <w:rPr>
                <w:rFonts w:cs="Arial"/>
                <w:sz w:val="16"/>
                <w:szCs w:val="16"/>
              </w:rPr>
            </w:pPr>
            <w:r w:rsidRPr="008270B7">
              <w:rPr>
                <w:rFonts w:cs="Arial"/>
                <w:sz w:val="16"/>
                <w:szCs w:val="16"/>
              </w:rPr>
              <w:t>Ramo al cual accede</w:t>
            </w:r>
          </w:p>
        </w:tc>
        <w:tc>
          <w:tcPr>
            <w:tcW w:w="832" w:type="pct"/>
          </w:tcPr>
          <w:p w14:paraId="4CA530E1" w14:textId="77777777" w:rsidR="00FB1E7D" w:rsidRPr="008270B7" w:rsidRDefault="00FB1E7D" w:rsidP="008270B7">
            <w:pPr>
              <w:tabs>
                <w:tab w:val="left" w:pos="720"/>
              </w:tabs>
              <w:rPr>
                <w:rFonts w:cs="Arial"/>
                <w:sz w:val="16"/>
                <w:szCs w:val="16"/>
              </w:rPr>
            </w:pPr>
            <w:r w:rsidRPr="008270B7">
              <w:rPr>
                <w:rFonts w:cs="Arial"/>
                <w:sz w:val="16"/>
                <w:szCs w:val="16"/>
              </w:rPr>
              <w:t>Identificación interna de la Nota Técnica</w:t>
            </w:r>
          </w:p>
        </w:tc>
      </w:tr>
      <w:tr w:rsidR="00FB1E7D" w:rsidRPr="008270B7" w14:paraId="741B76B5" w14:textId="77777777" w:rsidTr="006368D1">
        <w:tc>
          <w:tcPr>
            <w:tcW w:w="833" w:type="pct"/>
          </w:tcPr>
          <w:p w14:paraId="587C8801" w14:textId="77777777" w:rsidR="00FB1E7D" w:rsidRPr="008270B7" w:rsidRDefault="00FB1E7D" w:rsidP="008270B7">
            <w:pPr>
              <w:tabs>
                <w:tab w:val="left" w:pos="720"/>
              </w:tabs>
              <w:jc w:val="center"/>
              <w:rPr>
                <w:rFonts w:cs="Arial"/>
                <w:sz w:val="16"/>
                <w:szCs w:val="16"/>
              </w:rPr>
            </w:pPr>
            <w:r w:rsidRPr="008270B7">
              <w:rPr>
                <w:rFonts w:cs="Arial"/>
                <w:sz w:val="16"/>
                <w:szCs w:val="16"/>
              </w:rPr>
              <w:t>Formato</w:t>
            </w:r>
          </w:p>
        </w:tc>
        <w:tc>
          <w:tcPr>
            <w:tcW w:w="834" w:type="pct"/>
          </w:tcPr>
          <w:p w14:paraId="3C7A68CD" w14:textId="77777777" w:rsidR="00FB1E7D" w:rsidRPr="008270B7" w:rsidRDefault="00FB1E7D" w:rsidP="008270B7">
            <w:pPr>
              <w:tabs>
                <w:tab w:val="left" w:pos="720"/>
              </w:tabs>
              <w:jc w:val="both"/>
              <w:rPr>
                <w:rFonts w:cs="Arial"/>
                <w:sz w:val="16"/>
                <w:szCs w:val="16"/>
              </w:rPr>
            </w:pPr>
            <w:r w:rsidRPr="008270B7">
              <w:rPr>
                <w:rFonts w:cs="Arial"/>
                <w:sz w:val="16"/>
                <w:szCs w:val="16"/>
              </w:rPr>
              <w:t>8 dígitos</w:t>
            </w:r>
          </w:p>
          <w:p w14:paraId="3F136387" w14:textId="77777777" w:rsidR="00FB1E7D" w:rsidRPr="008270B7" w:rsidRDefault="00FB1E7D" w:rsidP="008270B7">
            <w:pPr>
              <w:tabs>
                <w:tab w:val="left" w:pos="720"/>
              </w:tabs>
              <w:jc w:val="both"/>
              <w:rPr>
                <w:rFonts w:cs="Arial"/>
                <w:sz w:val="16"/>
                <w:szCs w:val="16"/>
              </w:rPr>
            </w:pPr>
            <w:proofErr w:type="spellStart"/>
            <w:r w:rsidRPr="008270B7">
              <w:rPr>
                <w:rFonts w:cs="Arial"/>
                <w:sz w:val="16"/>
                <w:szCs w:val="16"/>
              </w:rPr>
              <w:t>dd</w:t>
            </w:r>
            <w:proofErr w:type="spellEnd"/>
            <w:r w:rsidRPr="008270B7">
              <w:rPr>
                <w:rFonts w:cs="Arial"/>
                <w:sz w:val="16"/>
                <w:szCs w:val="16"/>
              </w:rPr>
              <w:t>/mm/</w:t>
            </w:r>
            <w:proofErr w:type="spellStart"/>
            <w:r w:rsidRPr="008270B7">
              <w:rPr>
                <w:rFonts w:cs="Arial"/>
                <w:sz w:val="16"/>
                <w:szCs w:val="16"/>
              </w:rPr>
              <w:t>aaaa</w:t>
            </w:r>
            <w:proofErr w:type="spellEnd"/>
          </w:p>
        </w:tc>
        <w:tc>
          <w:tcPr>
            <w:tcW w:w="834" w:type="pct"/>
          </w:tcPr>
          <w:p w14:paraId="65DE10D3" w14:textId="77777777" w:rsidR="00FB1E7D" w:rsidRPr="008270B7" w:rsidRDefault="00FB1E7D" w:rsidP="008270B7">
            <w:pPr>
              <w:tabs>
                <w:tab w:val="left" w:pos="720"/>
              </w:tabs>
              <w:jc w:val="both"/>
              <w:rPr>
                <w:rFonts w:cs="Arial"/>
                <w:sz w:val="16"/>
                <w:szCs w:val="16"/>
              </w:rPr>
            </w:pPr>
            <w:r w:rsidRPr="008270B7">
              <w:rPr>
                <w:rFonts w:cs="Arial"/>
                <w:sz w:val="16"/>
                <w:szCs w:val="16"/>
              </w:rPr>
              <w:t>4 dígitos</w:t>
            </w:r>
          </w:p>
        </w:tc>
        <w:tc>
          <w:tcPr>
            <w:tcW w:w="833" w:type="pct"/>
          </w:tcPr>
          <w:p w14:paraId="1338663E" w14:textId="77777777" w:rsidR="00FB1E7D" w:rsidRPr="008270B7" w:rsidRDefault="00FB1E7D" w:rsidP="008270B7">
            <w:pPr>
              <w:tabs>
                <w:tab w:val="left" w:pos="720"/>
              </w:tabs>
              <w:jc w:val="both"/>
              <w:rPr>
                <w:rFonts w:cs="Arial"/>
                <w:sz w:val="16"/>
                <w:szCs w:val="16"/>
              </w:rPr>
            </w:pPr>
            <w:r w:rsidRPr="008270B7">
              <w:rPr>
                <w:rFonts w:cs="Arial"/>
                <w:sz w:val="16"/>
                <w:szCs w:val="16"/>
              </w:rPr>
              <w:t>4 caracteres</w:t>
            </w:r>
          </w:p>
        </w:tc>
        <w:tc>
          <w:tcPr>
            <w:tcW w:w="834" w:type="pct"/>
          </w:tcPr>
          <w:p w14:paraId="75B7081A" w14:textId="77777777" w:rsidR="00FB1E7D" w:rsidRPr="008270B7" w:rsidRDefault="00FB1E7D" w:rsidP="008270B7">
            <w:pPr>
              <w:tabs>
                <w:tab w:val="left" w:pos="720"/>
              </w:tabs>
              <w:jc w:val="both"/>
              <w:rPr>
                <w:rFonts w:cs="Arial"/>
                <w:sz w:val="16"/>
                <w:szCs w:val="16"/>
              </w:rPr>
            </w:pPr>
            <w:r w:rsidRPr="008270B7">
              <w:rPr>
                <w:rFonts w:cs="Arial"/>
                <w:sz w:val="16"/>
                <w:szCs w:val="16"/>
              </w:rPr>
              <w:t>2 dígitos</w:t>
            </w:r>
          </w:p>
        </w:tc>
        <w:tc>
          <w:tcPr>
            <w:tcW w:w="832" w:type="pct"/>
          </w:tcPr>
          <w:p w14:paraId="09BEB467" w14:textId="77777777" w:rsidR="00FB1E7D" w:rsidRPr="008270B7" w:rsidRDefault="00FB1E7D" w:rsidP="008270B7">
            <w:pPr>
              <w:tabs>
                <w:tab w:val="left" w:pos="720"/>
              </w:tabs>
              <w:jc w:val="both"/>
              <w:rPr>
                <w:rFonts w:cs="Arial"/>
                <w:sz w:val="16"/>
                <w:szCs w:val="16"/>
              </w:rPr>
            </w:pPr>
            <w:r w:rsidRPr="008270B7">
              <w:rPr>
                <w:rFonts w:cs="Arial"/>
                <w:sz w:val="16"/>
                <w:szCs w:val="16"/>
              </w:rPr>
              <w:t>16 caracteres</w:t>
            </w:r>
          </w:p>
        </w:tc>
      </w:tr>
    </w:tbl>
    <w:p w14:paraId="5CA5ECCC" w14:textId="77777777" w:rsidR="00FB1E7D" w:rsidRPr="008270B7" w:rsidRDefault="00FB1E7D" w:rsidP="008270B7">
      <w:pPr>
        <w:autoSpaceDE w:val="0"/>
        <w:autoSpaceDN w:val="0"/>
        <w:adjustRightInd w:val="0"/>
        <w:jc w:val="both"/>
        <w:rPr>
          <w:rFonts w:cs="Arial"/>
          <w:sz w:val="16"/>
          <w:szCs w:val="16"/>
        </w:rPr>
      </w:pPr>
    </w:p>
    <w:p w14:paraId="647A2F70" w14:textId="77777777" w:rsidR="00FB1E7D" w:rsidRPr="008270B7" w:rsidRDefault="00FB1E7D" w:rsidP="008270B7">
      <w:pPr>
        <w:autoSpaceDE w:val="0"/>
        <w:autoSpaceDN w:val="0"/>
        <w:adjustRightInd w:val="0"/>
        <w:jc w:val="both"/>
        <w:rPr>
          <w:rFonts w:cs="Arial"/>
          <w:sz w:val="16"/>
          <w:szCs w:val="16"/>
        </w:rPr>
      </w:pPr>
      <w:r w:rsidRPr="008270B7">
        <w:rPr>
          <w:rFonts w:cs="Arial"/>
          <w:sz w:val="16"/>
          <w:szCs w:val="16"/>
        </w:rPr>
        <w:t xml:space="preserve">Campo 1: Fecha a partir de la cual se utiliza el documento respectivo (día/mes/año). Tratándose de notas técnicas enviadas para efectos de la autorización de un ramo, se entiende que la fecha a partir de la cual se utiliza el documento corresponde a la del acto administrativo mediante el cual se imparte la respectiva autorización. </w:t>
      </w:r>
    </w:p>
    <w:p w14:paraId="3E7ADA04" w14:textId="77777777" w:rsidR="00FB1E7D" w:rsidRPr="008270B7" w:rsidRDefault="00FB1E7D" w:rsidP="008270B7">
      <w:pPr>
        <w:autoSpaceDE w:val="0"/>
        <w:autoSpaceDN w:val="0"/>
        <w:adjustRightInd w:val="0"/>
        <w:jc w:val="both"/>
        <w:rPr>
          <w:rFonts w:cs="Arial"/>
          <w:sz w:val="16"/>
          <w:szCs w:val="16"/>
        </w:rPr>
      </w:pPr>
    </w:p>
    <w:p w14:paraId="0A0AAEBD" w14:textId="77777777" w:rsidR="00EB046B" w:rsidRPr="008270B7" w:rsidRDefault="00FB1E7D" w:rsidP="008270B7">
      <w:pPr>
        <w:autoSpaceDE w:val="0"/>
        <w:autoSpaceDN w:val="0"/>
        <w:adjustRightInd w:val="0"/>
        <w:jc w:val="both"/>
        <w:rPr>
          <w:rFonts w:cs="Arial"/>
          <w:sz w:val="16"/>
          <w:szCs w:val="16"/>
        </w:rPr>
      </w:pPr>
      <w:r w:rsidRPr="008270B7">
        <w:rPr>
          <w:rFonts w:cs="Arial"/>
          <w:sz w:val="16"/>
          <w:szCs w:val="16"/>
        </w:rPr>
        <w:t>Campo 2: Código con el cual se identifica el tipo de entidad vigilada por la SFC, dependiendo de si se trata de aseguradoras de seguros generales (13), de vida (14), o cooperativa (15) y el individual asignado a la entidad en la SFC.</w:t>
      </w:r>
      <w:bookmarkEnd w:id="7"/>
    </w:p>
    <w:p w14:paraId="56DE2F9F" w14:textId="77777777" w:rsidR="00B10D26" w:rsidRPr="008270B7" w:rsidRDefault="00B10D26" w:rsidP="008270B7">
      <w:pPr>
        <w:autoSpaceDE w:val="0"/>
        <w:autoSpaceDN w:val="0"/>
        <w:adjustRightInd w:val="0"/>
        <w:jc w:val="both"/>
        <w:rPr>
          <w:rFonts w:cs="Arial"/>
          <w:sz w:val="16"/>
          <w:szCs w:val="16"/>
        </w:rPr>
      </w:pPr>
    </w:p>
    <w:p w14:paraId="24D5D1FC"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Campo 3: Debe indicarse:</w:t>
      </w:r>
    </w:p>
    <w:p w14:paraId="39E5879D" w14:textId="77777777" w:rsidR="00225181" w:rsidRPr="008270B7" w:rsidRDefault="00225181" w:rsidP="008270B7">
      <w:pPr>
        <w:autoSpaceDE w:val="0"/>
        <w:autoSpaceDN w:val="0"/>
        <w:adjustRightInd w:val="0"/>
        <w:jc w:val="both"/>
        <w:rPr>
          <w:rFonts w:cs="Arial"/>
          <w:sz w:val="16"/>
          <w:szCs w:val="16"/>
        </w:rPr>
      </w:pPr>
    </w:p>
    <w:p w14:paraId="35906E6C" w14:textId="5AE01CF5" w:rsidR="00B10D26" w:rsidRPr="008270B7" w:rsidRDefault="00B10D26" w:rsidP="008270B7">
      <w:pPr>
        <w:autoSpaceDE w:val="0"/>
        <w:autoSpaceDN w:val="0"/>
        <w:adjustRightInd w:val="0"/>
        <w:jc w:val="both"/>
        <w:rPr>
          <w:rFonts w:cs="Arial"/>
          <w:sz w:val="16"/>
          <w:szCs w:val="16"/>
        </w:rPr>
      </w:pPr>
      <w:r w:rsidRPr="008270B7">
        <w:rPr>
          <w:rFonts w:cs="Arial"/>
          <w:sz w:val="16"/>
          <w:szCs w:val="16"/>
        </w:rPr>
        <w:t xml:space="preserve">NT-P       si corresponde a la nota técnica de un producto. </w:t>
      </w:r>
    </w:p>
    <w:p w14:paraId="00E8FDA7"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NT-A</w:t>
      </w:r>
      <w:r w:rsidRPr="008270B7">
        <w:rPr>
          <w:rFonts w:cs="Arial"/>
          <w:sz w:val="16"/>
          <w:szCs w:val="16"/>
        </w:rPr>
        <w:tab/>
        <w:t>si corresponde a la nota técnica de un amparo adicional o anexo.</w:t>
      </w:r>
    </w:p>
    <w:p w14:paraId="0557B009" w14:textId="77777777" w:rsidR="00B10D26" w:rsidRPr="008270B7" w:rsidRDefault="00B10D26" w:rsidP="008270B7">
      <w:pPr>
        <w:autoSpaceDE w:val="0"/>
        <w:autoSpaceDN w:val="0"/>
        <w:adjustRightInd w:val="0"/>
        <w:jc w:val="both"/>
        <w:rPr>
          <w:rFonts w:cs="Arial"/>
          <w:sz w:val="16"/>
          <w:szCs w:val="16"/>
        </w:rPr>
      </w:pPr>
    </w:p>
    <w:p w14:paraId="1008FDE0"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 xml:space="preserve">Campo 4: Corresponde al código del ramo de acuerdo con lo previsto en el </w:t>
      </w:r>
      <w:proofErr w:type="spellStart"/>
      <w:r w:rsidR="007B344D" w:rsidRPr="008270B7">
        <w:rPr>
          <w:rFonts w:cs="Arial"/>
          <w:sz w:val="16"/>
          <w:szCs w:val="16"/>
        </w:rPr>
        <w:t>sub</w:t>
      </w:r>
      <w:r w:rsidRPr="008270B7">
        <w:rPr>
          <w:rFonts w:cs="Arial"/>
          <w:sz w:val="16"/>
          <w:szCs w:val="16"/>
        </w:rPr>
        <w:t>numeral</w:t>
      </w:r>
      <w:proofErr w:type="spellEnd"/>
      <w:r w:rsidRPr="008270B7">
        <w:rPr>
          <w:rFonts w:cs="Arial"/>
          <w:sz w:val="16"/>
          <w:szCs w:val="16"/>
        </w:rPr>
        <w:t xml:space="preserve"> 1.1. del presente </w:t>
      </w:r>
      <w:r w:rsidR="007B344D" w:rsidRPr="008270B7">
        <w:rPr>
          <w:rFonts w:cs="Arial"/>
          <w:sz w:val="16"/>
          <w:szCs w:val="16"/>
        </w:rPr>
        <w:t>C</w:t>
      </w:r>
      <w:r w:rsidRPr="008270B7">
        <w:rPr>
          <w:rFonts w:cs="Arial"/>
          <w:sz w:val="16"/>
          <w:szCs w:val="16"/>
        </w:rPr>
        <w:t>apítulo. Las notas técnicas que se utilicen en varios ramos deben codificarse con el número correspondiente al ramo principal.</w:t>
      </w:r>
    </w:p>
    <w:p w14:paraId="4400269E" w14:textId="77777777" w:rsidR="00B10D26" w:rsidRPr="008270B7" w:rsidRDefault="00B10D26" w:rsidP="008270B7">
      <w:pPr>
        <w:autoSpaceDE w:val="0"/>
        <w:autoSpaceDN w:val="0"/>
        <w:adjustRightInd w:val="0"/>
        <w:jc w:val="both"/>
        <w:rPr>
          <w:rFonts w:cs="Arial"/>
          <w:sz w:val="16"/>
          <w:szCs w:val="16"/>
        </w:rPr>
      </w:pPr>
    </w:p>
    <w:p w14:paraId="54D6445C"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 xml:space="preserve">Campo 5: </w:t>
      </w:r>
      <w:r w:rsidR="00225181" w:rsidRPr="008270B7">
        <w:rPr>
          <w:rFonts w:cs="Arial"/>
          <w:sz w:val="16"/>
          <w:szCs w:val="16"/>
        </w:rPr>
        <w:t>I</w:t>
      </w:r>
      <w:r w:rsidRPr="008270B7">
        <w:rPr>
          <w:rFonts w:cs="Arial"/>
          <w:sz w:val="16"/>
          <w:szCs w:val="16"/>
        </w:rPr>
        <w:t xml:space="preserve">dentificación de acuerdo con la codificación propia de la aseguradora. </w:t>
      </w:r>
    </w:p>
    <w:p w14:paraId="3B095BFB" w14:textId="77777777" w:rsidR="00B10D26" w:rsidRPr="008270B7" w:rsidRDefault="00B10D26" w:rsidP="008270B7">
      <w:pPr>
        <w:autoSpaceDE w:val="0"/>
        <w:autoSpaceDN w:val="0"/>
        <w:adjustRightInd w:val="0"/>
        <w:jc w:val="both"/>
        <w:rPr>
          <w:rFonts w:cs="Arial"/>
          <w:sz w:val="16"/>
          <w:szCs w:val="16"/>
        </w:rPr>
      </w:pPr>
    </w:p>
    <w:p w14:paraId="711A8EDD"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 xml:space="preserve">Los campos deben estar separados entre sí por un </w:t>
      </w:r>
      <w:proofErr w:type="spellStart"/>
      <w:r w:rsidRPr="008270B7">
        <w:rPr>
          <w:rFonts w:cs="Arial"/>
          <w:sz w:val="16"/>
          <w:szCs w:val="16"/>
        </w:rPr>
        <w:t>guión</w:t>
      </w:r>
      <w:proofErr w:type="spellEnd"/>
      <w:r w:rsidRPr="008270B7">
        <w:rPr>
          <w:rFonts w:cs="Arial"/>
          <w:sz w:val="16"/>
          <w:szCs w:val="16"/>
        </w:rPr>
        <w:t xml:space="preserve"> (-).</w:t>
      </w:r>
    </w:p>
    <w:p w14:paraId="22E79698" w14:textId="77777777" w:rsidR="00B10D26" w:rsidRPr="008270B7" w:rsidRDefault="00B10D26" w:rsidP="008270B7">
      <w:pPr>
        <w:autoSpaceDE w:val="0"/>
        <w:autoSpaceDN w:val="0"/>
        <w:adjustRightInd w:val="0"/>
        <w:jc w:val="both"/>
        <w:rPr>
          <w:rFonts w:cs="Arial"/>
          <w:sz w:val="16"/>
          <w:szCs w:val="16"/>
        </w:rPr>
      </w:pPr>
    </w:p>
    <w:p w14:paraId="298904AF"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1.8.1.3</w:t>
      </w:r>
      <w:r w:rsidR="00225181" w:rsidRPr="008270B7">
        <w:rPr>
          <w:rFonts w:cs="Arial"/>
          <w:sz w:val="16"/>
          <w:szCs w:val="16"/>
        </w:rPr>
        <w:t>.</w:t>
      </w:r>
      <w:r w:rsidRPr="008270B7">
        <w:rPr>
          <w:rFonts w:cs="Arial"/>
          <w:sz w:val="16"/>
          <w:szCs w:val="16"/>
        </w:rPr>
        <w:t xml:space="preserve"> Identificación del producto y/o amparos adicionales: Indicar el nombre del producto y/o amparos adicionales a los que aplica. </w:t>
      </w:r>
    </w:p>
    <w:p w14:paraId="088581A6" w14:textId="77777777" w:rsidR="00B10D26" w:rsidRPr="008270B7" w:rsidRDefault="00B10D26" w:rsidP="008270B7">
      <w:pPr>
        <w:autoSpaceDE w:val="0"/>
        <w:autoSpaceDN w:val="0"/>
        <w:adjustRightInd w:val="0"/>
        <w:jc w:val="both"/>
        <w:rPr>
          <w:rFonts w:cs="Arial"/>
          <w:sz w:val="16"/>
          <w:szCs w:val="16"/>
        </w:rPr>
      </w:pPr>
    </w:p>
    <w:p w14:paraId="04CB6924" w14:textId="77777777" w:rsidR="00B10D26" w:rsidRPr="008270B7" w:rsidRDefault="00B10D26" w:rsidP="008270B7">
      <w:pPr>
        <w:autoSpaceDE w:val="0"/>
        <w:autoSpaceDN w:val="0"/>
        <w:adjustRightInd w:val="0"/>
        <w:jc w:val="both"/>
        <w:rPr>
          <w:rFonts w:cs="Arial"/>
          <w:sz w:val="16"/>
          <w:szCs w:val="16"/>
        </w:rPr>
      </w:pPr>
      <w:r w:rsidRPr="008270B7">
        <w:rPr>
          <w:rFonts w:cs="Arial"/>
          <w:sz w:val="16"/>
          <w:szCs w:val="16"/>
        </w:rPr>
        <w:t>1.8.1.4</w:t>
      </w:r>
      <w:r w:rsidR="00225181" w:rsidRPr="008270B7">
        <w:rPr>
          <w:rFonts w:cs="Arial"/>
          <w:sz w:val="16"/>
          <w:szCs w:val="16"/>
        </w:rPr>
        <w:t>.</w:t>
      </w:r>
      <w:r w:rsidRPr="008270B7">
        <w:rPr>
          <w:rFonts w:cs="Arial"/>
          <w:sz w:val="16"/>
          <w:szCs w:val="16"/>
        </w:rPr>
        <w:t xml:space="preserve"> Fecha de elaboración de la nota técnica: Se debe indicar la fecha de elaboración y/o actualización de la nota técnica.</w:t>
      </w:r>
    </w:p>
    <w:p w14:paraId="0A8D4786" w14:textId="77777777" w:rsidR="00B10D26" w:rsidRPr="008270B7" w:rsidRDefault="00B10D26" w:rsidP="008270B7">
      <w:pPr>
        <w:jc w:val="both"/>
        <w:rPr>
          <w:rFonts w:cs="Arial"/>
          <w:sz w:val="16"/>
          <w:szCs w:val="16"/>
        </w:rPr>
      </w:pPr>
    </w:p>
    <w:p w14:paraId="68FD910E" w14:textId="77777777" w:rsidR="00B10D26" w:rsidRPr="008270B7" w:rsidRDefault="00B10D26" w:rsidP="008270B7">
      <w:pPr>
        <w:jc w:val="both"/>
        <w:rPr>
          <w:rFonts w:cs="Arial"/>
          <w:sz w:val="16"/>
          <w:szCs w:val="16"/>
        </w:rPr>
      </w:pPr>
      <w:r w:rsidRPr="008270B7">
        <w:rPr>
          <w:rFonts w:cs="Arial"/>
          <w:sz w:val="16"/>
          <w:szCs w:val="16"/>
        </w:rPr>
        <w:t>1.8.2. Descripción del producto</w:t>
      </w:r>
    </w:p>
    <w:p w14:paraId="62B2BAD3" w14:textId="77777777" w:rsidR="00B10D26" w:rsidRPr="008270B7" w:rsidRDefault="00B10D26" w:rsidP="008270B7">
      <w:pPr>
        <w:jc w:val="both"/>
        <w:rPr>
          <w:rFonts w:cs="Arial"/>
          <w:sz w:val="16"/>
          <w:szCs w:val="16"/>
        </w:rPr>
      </w:pPr>
    </w:p>
    <w:p w14:paraId="7DB60A57" w14:textId="77777777" w:rsidR="00B10D26" w:rsidRPr="008270B7" w:rsidRDefault="00B10D26" w:rsidP="008270B7">
      <w:pPr>
        <w:jc w:val="both"/>
        <w:rPr>
          <w:rFonts w:cs="Arial"/>
          <w:sz w:val="16"/>
          <w:szCs w:val="16"/>
        </w:rPr>
      </w:pPr>
      <w:r w:rsidRPr="008270B7">
        <w:rPr>
          <w:rFonts w:cs="Arial"/>
          <w:sz w:val="16"/>
          <w:szCs w:val="16"/>
        </w:rPr>
        <w:t xml:space="preserve">Se debe realizar una enumeración y descripción clara del amparo básico con los amparos o coberturas adicionales ofrecidos, así como el mercado objetivo al cual va dirigido, de tal forma que guarde correspondencia con lo establecido en el clausulado, indicando las características de </w:t>
      </w:r>
      <w:proofErr w:type="gramStart"/>
      <w:r w:rsidRPr="008270B7">
        <w:rPr>
          <w:rFonts w:cs="Arial"/>
          <w:sz w:val="16"/>
          <w:szCs w:val="16"/>
        </w:rPr>
        <w:t>los mismos</w:t>
      </w:r>
      <w:proofErr w:type="gramEnd"/>
      <w:r w:rsidRPr="008270B7">
        <w:rPr>
          <w:rFonts w:cs="Arial"/>
          <w:sz w:val="16"/>
          <w:szCs w:val="16"/>
        </w:rPr>
        <w:t xml:space="preserve"> e incluyendo el bien o bienes que se cubren y los beneficios o indemnizaciones. En cuanto sean aplicables debe contener, entre otros, elementos como los siguientes: </w:t>
      </w:r>
    </w:p>
    <w:p w14:paraId="4BB795B4" w14:textId="77777777" w:rsidR="00B10D26" w:rsidRPr="008270B7" w:rsidRDefault="00B10D26" w:rsidP="008270B7">
      <w:pPr>
        <w:jc w:val="both"/>
        <w:rPr>
          <w:rFonts w:cs="Arial"/>
          <w:sz w:val="16"/>
          <w:szCs w:val="16"/>
        </w:rPr>
      </w:pPr>
    </w:p>
    <w:p w14:paraId="5CF6FC05" w14:textId="77777777" w:rsidR="00B10D26" w:rsidRPr="008270B7" w:rsidRDefault="00B10D26" w:rsidP="008270B7">
      <w:pPr>
        <w:jc w:val="both"/>
        <w:rPr>
          <w:rFonts w:cs="Arial"/>
          <w:sz w:val="16"/>
          <w:szCs w:val="16"/>
        </w:rPr>
      </w:pPr>
      <w:r w:rsidRPr="008270B7">
        <w:rPr>
          <w:rFonts w:cs="Arial"/>
          <w:sz w:val="16"/>
          <w:szCs w:val="16"/>
        </w:rPr>
        <w:t>1.8.2.1. Temporalidad: Indicando la temporalidad de cada uno de los amparos.</w:t>
      </w:r>
    </w:p>
    <w:p w14:paraId="0A2F3FA9" w14:textId="77777777" w:rsidR="00B10D26" w:rsidRPr="008270B7" w:rsidRDefault="00B10D26" w:rsidP="008270B7">
      <w:pPr>
        <w:jc w:val="both"/>
        <w:rPr>
          <w:rFonts w:cs="Arial"/>
          <w:sz w:val="16"/>
          <w:szCs w:val="16"/>
        </w:rPr>
      </w:pPr>
    </w:p>
    <w:p w14:paraId="51A9E2D4" w14:textId="77777777" w:rsidR="00B10D26" w:rsidRPr="008270B7" w:rsidRDefault="00B10D26" w:rsidP="008270B7">
      <w:pPr>
        <w:jc w:val="both"/>
        <w:rPr>
          <w:rFonts w:cs="Arial"/>
          <w:sz w:val="16"/>
          <w:szCs w:val="16"/>
        </w:rPr>
      </w:pPr>
      <w:r w:rsidRPr="008270B7">
        <w:rPr>
          <w:rFonts w:cs="Arial"/>
          <w:sz w:val="16"/>
          <w:szCs w:val="16"/>
        </w:rPr>
        <w:t>1.8.2.2. Modalidad del seguro: Si es individual, colectivo, o de cualquier otra modalidad.</w:t>
      </w:r>
    </w:p>
    <w:p w14:paraId="7D6FADD6" w14:textId="77777777" w:rsidR="00B10D26" w:rsidRPr="008270B7" w:rsidRDefault="00B10D26" w:rsidP="008270B7">
      <w:pPr>
        <w:jc w:val="both"/>
        <w:rPr>
          <w:rFonts w:cs="Arial"/>
          <w:sz w:val="16"/>
          <w:szCs w:val="16"/>
        </w:rPr>
      </w:pPr>
    </w:p>
    <w:p w14:paraId="406CEE3E" w14:textId="77777777" w:rsidR="00B10D26" w:rsidRPr="008270B7" w:rsidRDefault="00B10D26" w:rsidP="008270B7">
      <w:pPr>
        <w:jc w:val="both"/>
        <w:rPr>
          <w:rFonts w:cs="Arial"/>
          <w:sz w:val="16"/>
          <w:szCs w:val="16"/>
        </w:rPr>
      </w:pPr>
      <w:r w:rsidRPr="008270B7">
        <w:rPr>
          <w:rFonts w:cs="Arial"/>
          <w:sz w:val="16"/>
          <w:szCs w:val="16"/>
        </w:rPr>
        <w:t>1.8.2.3. Valor asegurado: Se debe realizar una clara definición de la forma en que se establece el valor asegurado de cada uno de los amparos. En caso de requerirse, los elementos que lo conforman y/o la metodología de cálculo y actualización.</w:t>
      </w:r>
    </w:p>
    <w:p w14:paraId="2DFC91F9" w14:textId="77777777" w:rsidR="00B10D26" w:rsidRPr="008270B7" w:rsidRDefault="00B10D26" w:rsidP="008270B7">
      <w:pPr>
        <w:jc w:val="both"/>
        <w:rPr>
          <w:rFonts w:cs="Arial"/>
          <w:sz w:val="16"/>
          <w:szCs w:val="16"/>
        </w:rPr>
      </w:pPr>
    </w:p>
    <w:p w14:paraId="4D78C1F1" w14:textId="77777777" w:rsidR="00B10D26" w:rsidRPr="008270B7" w:rsidRDefault="00B10D26" w:rsidP="008270B7">
      <w:pPr>
        <w:jc w:val="both"/>
        <w:rPr>
          <w:rFonts w:cs="Arial"/>
          <w:sz w:val="16"/>
          <w:szCs w:val="16"/>
        </w:rPr>
      </w:pPr>
      <w:r w:rsidRPr="008270B7">
        <w:rPr>
          <w:rFonts w:cs="Arial"/>
          <w:sz w:val="16"/>
          <w:szCs w:val="16"/>
        </w:rPr>
        <w:t>1.8.2.4. Moneda: Se debe indicar la moneda o índice en que se denomina la cobertura.</w:t>
      </w:r>
    </w:p>
    <w:p w14:paraId="2CB51524" w14:textId="77777777" w:rsidR="00B10D26" w:rsidRPr="008270B7" w:rsidRDefault="00B10D26" w:rsidP="008270B7">
      <w:pPr>
        <w:jc w:val="both"/>
        <w:rPr>
          <w:rFonts w:cs="Arial"/>
          <w:sz w:val="16"/>
          <w:szCs w:val="16"/>
        </w:rPr>
      </w:pPr>
    </w:p>
    <w:p w14:paraId="2CD1AE13" w14:textId="77777777" w:rsidR="009A711C" w:rsidRPr="008270B7" w:rsidRDefault="00B10D26" w:rsidP="008270B7">
      <w:pPr>
        <w:jc w:val="both"/>
        <w:rPr>
          <w:rFonts w:cs="Arial"/>
          <w:sz w:val="16"/>
          <w:szCs w:val="16"/>
        </w:rPr>
      </w:pPr>
      <w:r w:rsidRPr="008270B7">
        <w:rPr>
          <w:rFonts w:cs="Arial"/>
          <w:sz w:val="16"/>
          <w:szCs w:val="16"/>
        </w:rPr>
        <w:t>1.8.2.5. Medidas de control: Se deben señalar los criterios definidos por la aseguradora para la suscripción y las medidas adoptadas para el control del riesgo, tales como límites para la edad de ingreso y edad de permanencia, períodos de carencia, o cualquier otra medida de control.</w:t>
      </w:r>
    </w:p>
    <w:p w14:paraId="7DC50B54" w14:textId="0B5090DA" w:rsidR="009A711C" w:rsidRPr="008270B7" w:rsidRDefault="009A711C" w:rsidP="008270B7">
      <w:pPr>
        <w:jc w:val="both"/>
        <w:rPr>
          <w:rFonts w:cs="Arial"/>
          <w:sz w:val="16"/>
          <w:szCs w:val="16"/>
        </w:rPr>
        <w:sectPr w:rsidR="009A711C" w:rsidRPr="008270B7" w:rsidSect="00697CF2">
          <w:headerReference w:type="first" r:id="rId43"/>
          <w:footerReference w:type="first" r:id="rId44"/>
          <w:pgSz w:w="12240" w:h="18720" w:code="257"/>
          <w:pgMar w:top="1417" w:right="1701" w:bottom="1417" w:left="1701" w:header="709" w:footer="865" w:gutter="0"/>
          <w:cols w:space="708"/>
          <w:titlePg/>
          <w:docGrid w:linePitch="360"/>
        </w:sectPr>
      </w:pPr>
    </w:p>
    <w:p w14:paraId="7C456EA1" w14:textId="77777777" w:rsidR="003D3E9A" w:rsidRPr="008270B7" w:rsidRDefault="003D3E9A" w:rsidP="008270B7">
      <w:pPr>
        <w:jc w:val="both"/>
        <w:rPr>
          <w:rFonts w:cs="Arial"/>
          <w:sz w:val="16"/>
          <w:szCs w:val="16"/>
        </w:rPr>
      </w:pPr>
      <w:r w:rsidRPr="008270B7">
        <w:rPr>
          <w:rFonts w:cs="Arial"/>
          <w:sz w:val="16"/>
          <w:szCs w:val="16"/>
        </w:rPr>
        <w:lastRenderedPageBreak/>
        <w:t>1.8.3. Bases técnicas</w:t>
      </w:r>
    </w:p>
    <w:p w14:paraId="0EB21E1D" w14:textId="77777777" w:rsidR="003D3E9A" w:rsidRPr="008270B7" w:rsidRDefault="003D3E9A" w:rsidP="008270B7">
      <w:pPr>
        <w:jc w:val="both"/>
        <w:rPr>
          <w:rFonts w:cs="Arial"/>
          <w:sz w:val="16"/>
          <w:szCs w:val="16"/>
        </w:rPr>
      </w:pPr>
    </w:p>
    <w:p w14:paraId="6239E951" w14:textId="77777777" w:rsidR="003D3E9A" w:rsidRPr="008270B7" w:rsidRDefault="003D3E9A" w:rsidP="008270B7">
      <w:pPr>
        <w:jc w:val="both"/>
        <w:rPr>
          <w:rFonts w:cs="Arial"/>
          <w:sz w:val="16"/>
          <w:szCs w:val="16"/>
        </w:rPr>
      </w:pPr>
      <w:r w:rsidRPr="008270B7">
        <w:rPr>
          <w:rFonts w:cs="Arial"/>
          <w:sz w:val="16"/>
          <w:szCs w:val="16"/>
        </w:rPr>
        <w:t xml:space="preserve">1.8.3.1. Hipótesis </w:t>
      </w:r>
    </w:p>
    <w:p w14:paraId="62B8BDC3" w14:textId="77777777" w:rsidR="003D3E9A" w:rsidRPr="008270B7" w:rsidRDefault="003D3E9A" w:rsidP="008270B7">
      <w:pPr>
        <w:jc w:val="both"/>
        <w:rPr>
          <w:rFonts w:cs="Arial"/>
          <w:sz w:val="16"/>
          <w:szCs w:val="16"/>
        </w:rPr>
      </w:pPr>
    </w:p>
    <w:p w14:paraId="6454CCE9" w14:textId="77777777" w:rsidR="003D3E9A" w:rsidRPr="008270B7" w:rsidRDefault="003D3E9A" w:rsidP="008270B7">
      <w:pPr>
        <w:jc w:val="both"/>
        <w:rPr>
          <w:rFonts w:cs="Arial"/>
          <w:sz w:val="16"/>
          <w:szCs w:val="16"/>
        </w:rPr>
      </w:pPr>
      <w:r w:rsidRPr="008270B7">
        <w:rPr>
          <w:rFonts w:cs="Arial"/>
          <w:sz w:val="16"/>
          <w:szCs w:val="16"/>
        </w:rPr>
        <w:t xml:space="preserve">Los supuestos que se utilicen en el proceso de tarifación deben estar consignados y sustentados en la nota técnica. En particular debe contener, en cuanto sean aplicables, elementos tales como:  </w:t>
      </w:r>
    </w:p>
    <w:p w14:paraId="2445F624" w14:textId="77777777" w:rsidR="003D3E9A" w:rsidRPr="008270B7" w:rsidRDefault="003D3E9A" w:rsidP="008270B7">
      <w:pPr>
        <w:jc w:val="both"/>
        <w:rPr>
          <w:rFonts w:cs="Arial"/>
          <w:sz w:val="16"/>
          <w:szCs w:val="16"/>
        </w:rPr>
      </w:pPr>
    </w:p>
    <w:p w14:paraId="2B008158" w14:textId="77777777" w:rsidR="003D3E9A" w:rsidRPr="008270B7" w:rsidRDefault="003D3E9A" w:rsidP="008270B7">
      <w:pPr>
        <w:jc w:val="both"/>
        <w:rPr>
          <w:rFonts w:cs="Arial"/>
          <w:sz w:val="16"/>
          <w:szCs w:val="16"/>
        </w:rPr>
      </w:pPr>
      <w:r w:rsidRPr="008270B7">
        <w:rPr>
          <w:rFonts w:cs="Arial"/>
          <w:sz w:val="16"/>
          <w:szCs w:val="16"/>
        </w:rPr>
        <w:t>1.8.3.1.1. Hipótesis demográficas: Se refiere a las tablas de mortalidad o de morbilidad que se utilizan, así como otros supuestos demográficos relevantes que sean considerados.</w:t>
      </w:r>
    </w:p>
    <w:p w14:paraId="4D6EE4A2" w14:textId="77777777" w:rsidR="003D3E9A" w:rsidRPr="008270B7" w:rsidRDefault="003D3E9A" w:rsidP="008270B7">
      <w:pPr>
        <w:jc w:val="both"/>
        <w:rPr>
          <w:rFonts w:cs="Arial"/>
          <w:sz w:val="16"/>
          <w:szCs w:val="16"/>
        </w:rPr>
      </w:pPr>
    </w:p>
    <w:p w14:paraId="3246089F" w14:textId="77777777" w:rsidR="003D3E9A" w:rsidRPr="008270B7" w:rsidRDefault="003D3E9A" w:rsidP="008270B7">
      <w:pPr>
        <w:jc w:val="both"/>
        <w:rPr>
          <w:rFonts w:cs="Arial"/>
          <w:sz w:val="16"/>
          <w:szCs w:val="16"/>
        </w:rPr>
      </w:pPr>
      <w:r w:rsidRPr="008270B7">
        <w:rPr>
          <w:rFonts w:cs="Arial"/>
          <w:sz w:val="16"/>
          <w:szCs w:val="16"/>
        </w:rPr>
        <w:t xml:space="preserve">1.8.3.1.2. Hipótesis financieras y/o económicas: Se refiere a las tasas de interés técnico o la forma utilizada para considerar el valor del dinero en el tiempo, tasas de inflación, tasas de cambio, o índices financieros que se utilizan, así como otros supuestos financieros y/o económicos relevantes que sean considerados. </w:t>
      </w:r>
    </w:p>
    <w:p w14:paraId="43C59992" w14:textId="77777777" w:rsidR="003D3E9A" w:rsidRPr="008270B7" w:rsidRDefault="003D3E9A" w:rsidP="008270B7">
      <w:pPr>
        <w:jc w:val="both"/>
        <w:rPr>
          <w:rFonts w:cs="Arial"/>
          <w:sz w:val="16"/>
          <w:szCs w:val="16"/>
        </w:rPr>
      </w:pPr>
    </w:p>
    <w:p w14:paraId="0EA15FC4" w14:textId="77777777" w:rsidR="003D3E9A" w:rsidRPr="008270B7" w:rsidRDefault="003D3E9A" w:rsidP="008270B7">
      <w:pPr>
        <w:jc w:val="both"/>
        <w:rPr>
          <w:rFonts w:cs="Arial"/>
          <w:sz w:val="16"/>
          <w:szCs w:val="16"/>
        </w:rPr>
      </w:pPr>
      <w:r w:rsidRPr="008270B7">
        <w:rPr>
          <w:rFonts w:cs="Arial"/>
          <w:sz w:val="16"/>
          <w:szCs w:val="16"/>
        </w:rPr>
        <w:t xml:space="preserve">1.8.3.1.3. </w:t>
      </w:r>
      <w:r w:rsidRPr="008270B7">
        <w:rPr>
          <w:rFonts w:cs="Arial"/>
          <w:sz w:val="16"/>
          <w:szCs w:val="16"/>
          <w:lang w:val="es-ES_tradnl"/>
        </w:rPr>
        <w:t xml:space="preserve">Otras Hipótesis: Se refiere a cualquier otro supuesto de importancia que se haya tenido en cuenta en la tarifación, como por ejemplo supuestos de frecuencia, severidad o </w:t>
      </w:r>
      <w:r w:rsidRPr="008270B7">
        <w:rPr>
          <w:rFonts w:cs="Arial"/>
          <w:sz w:val="16"/>
          <w:szCs w:val="16"/>
        </w:rPr>
        <w:t xml:space="preserve">índices de siniestralidad, entre otros. </w:t>
      </w:r>
    </w:p>
    <w:p w14:paraId="5FE3A0FE" w14:textId="77777777" w:rsidR="003D3E9A" w:rsidRPr="008270B7" w:rsidRDefault="003D3E9A" w:rsidP="008270B7">
      <w:pPr>
        <w:jc w:val="both"/>
        <w:rPr>
          <w:rFonts w:cs="Arial"/>
          <w:sz w:val="16"/>
          <w:szCs w:val="16"/>
        </w:rPr>
      </w:pPr>
    </w:p>
    <w:p w14:paraId="3AA4125B" w14:textId="77777777" w:rsidR="003D3E9A" w:rsidRPr="008270B7" w:rsidRDefault="003D3E9A" w:rsidP="008270B7">
      <w:pPr>
        <w:jc w:val="both"/>
        <w:rPr>
          <w:rFonts w:cs="Arial"/>
          <w:sz w:val="16"/>
          <w:szCs w:val="16"/>
        </w:rPr>
      </w:pPr>
      <w:r w:rsidRPr="008270B7">
        <w:rPr>
          <w:rFonts w:cs="Arial"/>
          <w:sz w:val="16"/>
          <w:szCs w:val="16"/>
        </w:rPr>
        <w:t xml:space="preserve">En el evento en que se utilicen estudios o estadísticas para sustentar cualquiera de las variables o parámetros utilizados en la tarifación, se deben anexar en medio digital los datos consolidados indicando claramente la fuente de </w:t>
      </w:r>
      <w:proofErr w:type="gramStart"/>
      <w:r w:rsidRPr="008270B7">
        <w:rPr>
          <w:rFonts w:cs="Arial"/>
          <w:sz w:val="16"/>
          <w:szCs w:val="16"/>
        </w:rPr>
        <w:t>los mismos</w:t>
      </w:r>
      <w:proofErr w:type="gramEnd"/>
      <w:r w:rsidRPr="008270B7">
        <w:rPr>
          <w:rFonts w:cs="Arial"/>
          <w:sz w:val="16"/>
          <w:szCs w:val="16"/>
        </w:rPr>
        <w:t>. En el evento en que se utilicen supuestos prescritos por ley, se debe indicar la normatividad que establece su uso.</w:t>
      </w:r>
    </w:p>
    <w:p w14:paraId="4360FDFB" w14:textId="77777777" w:rsidR="003D3E9A" w:rsidRPr="008270B7" w:rsidRDefault="003D3E9A" w:rsidP="008270B7">
      <w:pPr>
        <w:jc w:val="both"/>
        <w:rPr>
          <w:rFonts w:cs="Arial"/>
          <w:sz w:val="16"/>
          <w:szCs w:val="16"/>
        </w:rPr>
      </w:pPr>
    </w:p>
    <w:p w14:paraId="7AFC669D" w14:textId="77777777" w:rsidR="003D3E9A" w:rsidRPr="008270B7" w:rsidRDefault="003D3E9A" w:rsidP="008270B7">
      <w:pPr>
        <w:jc w:val="both"/>
        <w:rPr>
          <w:rFonts w:cs="Arial"/>
          <w:sz w:val="16"/>
          <w:szCs w:val="16"/>
        </w:rPr>
      </w:pPr>
      <w:r w:rsidRPr="008270B7">
        <w:rPr>
          <w:rFonts w:cs="Arial"/>
          <w:sz w:val="16"/>
          <w:szCs w:val="16"/>
        </w:rPr>
        <w:t xml:space="preserve">1.8.3.2. Prima de Riesgo </w:t>
      </w:r>
    </w:p>
    <w:p w14:paraId="3FF98C79" w14:textId="77777777" w:rsidR="003D3E9A" w:rsidRPr="008270B7" w:rsidRDefault="003D3E9A" w:rsidP="008270B7">
      <w:pPr>
        <w:jc w:val="both"/>
        <w:rPr>
          <w:rFonts w:cs="Arial"/>
          <w:sz w:val="16"/>
          <w:szCs w:val="16"/>
        </w:rPr>
      </w:pPr>
    </w:p>
    <w:p w14:paraId="638EC61C" w14:textId="77777777" w:rsidR="003D3E9A" w:rsidRPr="008270B7" w:rsidRDefault="003D3E9A" w:rsidP="008270B7">
      <w:pPr>
        <w:jc w:val="both"/>
        <w:rPr>
          <w:rFonts w:cs="Arial"/>
          <w:sz w:val="16"/>
          <w:szCs w:val="16"/>
        </w:rPr>
      </w:pPr>
      <w:r w:rsidRPr="008270B7">
        <w:rPr>
          <w:rFonts w:cs="Arial"/>
          <w:sz w:val="16"/>
          <w:szCs w:val="16"/>
        </w:rPr>
        <w:t xml:space="preserve">La nota técnica debe consignar y sustentar los procedimientos técnicos y actuariales, fórmulas y parámetros utilizados para establecer la tasa de riesgo y su respectiva prima. En cuanto aplique, se deben incluir elementos tales como:  </w:t>
      </w:r>
    </w:p>
    <w:p w14:paraId="77531D4D" w14:textId="77777777" w:rsidR="003D3E9A" w:rsidRPr="008270B7" w:rsidRDefault="003D3E9A" w:rsidP="008270B7">
      <w:pPr>
        <w:jc w:val="both"/>
        <w:rPr>
          <w:rFonts w:cs="Arial"/>
          <w:sz w:val="16"/>
          <w:szCs w:val="16"/>
        </w:rPr>
      </w:pPr>
    </w:p>
    <w:p w14:paraId="4A97F9D9" w14:textId="77777777" w:rsidR="003D3E9A" w:rsidRPr="008270B7" w:rsidRDefault="003D3E9A" w:rsidP="008270B7">
      <w:pPr>
        <w:jc w:val="both"/>
        <w:rPr>
          <w:rFonts w:cs="Arial"/>
          <w:sz w:val="16"/>
          <w:szCs w:val="16"/>
        </w:rPr>
      </w:pPr>
      <w:r w:rsidRPr="008270B7">
        <w:rPr>
          <w:rFonts w:cs="Arial"/>
          <w:sz w:val="16"/>
          <w:szCs w:val="16"/>
        </w:rPr>
        <w:t>1.8.3.2.1. Deducibles</w:t>
      </w:r>
    </w:p>
    <w:p w14:paraId="4358E2CF" w14:textId="77777777" w:rsidR="003D3E9A" w:rsidRPr="008270B7" w:rsidRDefault="003D3E9A" w:rsidP="008270B7">
      <w:pPr>
        <w:jc w:val="both"/>
        <w:rPr>
          <w:rFonts w:cs="Arial"/>
          <w:sz w:val="16"/>
          <w:szCs w:val="16"/>
        </w:rPr>
      </w:pPr>
      <w:r w:rsidRPr="008270B7">
        <w:rPr>
          <w:rFonts w:cs="Arial"/>
          <w:sz w:val="16"/>
          <w:szCs w:val="16"/>
        </w:rPr>
        <w:t>1.8.3.2.2. Copagos</w:t>
      </w:r>
    </w:p>
    <w:p w14:paraId="4401E508" w14:textId="77777777" w:rsidR="003D3E9A" w:rsidRPr="008270B7" w:rsidRDefault="003D3E9A" w:rsidP="008270B7">
      <w:pPr>
        <w:jc w:val="both"/>
        <w:rPr>
          <w:rFonts w:cs="Arial"/>
          <w:sz w:val="16"/>
          <w:szCs w:val="16"/>
        </w:rPr>
      </w:pPr>
      <w:r w:rsidRPr="008270B7">
        <w:rPr>
          <w:rFonts w:cs="Arial"/>
          <w:sz w:val="16"/>
          <w:szCs w:val="16"/>
        </w:rPr>
        <w:t>1.8.3.2.3. Límites</w:t>
      </w:r>
    </w:p>
    <w:p w14:paraId="17BC48D6" w14:textId="77777777" w:rsidR="003D3E9A" w:rsidRPr="008270B7" w:rsidRDefault="003D3E9A" w:rsidP="008270B7">
      <w:pPr>
        <w:jc w:val="both"/>
        <w:rPr>
          <w:rFonts w:cs="Arial"/>
          <w:sz w:val="16"/>
          <w:szCs w:val="16"/>
        </w:rPr>
      </w:pPr>
      <w:r w:rsidRPr="008270B7">
        <w:rPr>
          <w:rFonts w:cs="Arial"/>
          <w:sz w:val="16"/>
          <w:szCs w:val="16"/>
        </w:rPr>
        <w:t>1.8.3.2.4. Recargos y/o descuentos basados en el riesgo</w:t>
      </w:r>
    </w:p>
    <w:p w14:paraId="2D4306EB" w14:textId="77777777" w:rsidR="003D3E9A" w:rsidRPr="008270B7" w:rsidRDefault="003D3E9A" w:rsidP="008270B7">
      <w:pPr>
        <w:jc w:val="both"/>
        <w:rPr>
          <w:rFonts w:cs="Arial"/>
          <w:sz w:val="16"/>
          <w:szCs w:val="16"/>
        </w:rPr>
      </w:pPr>
      <w:r w:rsidRPr="008270B7">
        <w:rPr>
          <w:rFonts w:cs="Arial"/>
          <w:sz w:val="16"/>
          <w:szCs w:val="16"/>
        </w:rPr>
        <w:t>1.8.3.2.5. Factores de credibilidad</w:t>
      </w:r>
    </w:p>
    <w:p w14:paraId="7F6D42A7" w14:textId="77777777" w:rsidR="003D3E9A" w:rsidRPr="008270B7" w:rsidRDefault="003D3E9A" w:rsidP="008270B7">
      <w:pPr>
        <w:jc w:val="both"/>
        <w:rPr>
          <w:rFonts w:cs="Arial"/>
          <w:sz w:val="16"/>
          <w:szCs w:val="16"/>
        </w:rPr>
      </w:pPr>
    </w:p>
    <w:p w14:paraId="1DA30658" w14:textId="77777777" w:rsidR="003D3E9A" w:rsidRPr="008270B7" w:rsidRDefault="003D3E9A" w:rsidP="008270B7">
      <w:pPr>
        <w:jc w:val="both"/>
        <w:rPr>
          <w:rFonts w:cs="Arial"/>
          <w:sz w:val="16"/>
          <w:szCs w:val="16"/>
        </w:rPr>
      </w:pPr>
      <w:r w:rsidRPr="008270B7">
        <w:rPr>
          <w:rFonts w:cs="Arial"/>
          <w:sz w:val="16"/>
          <w:szCs w:val="16"/>
        </w:rPr>
        <w:t>Cuando la tasa pura de riesgo sea establecida por el reasegurador, la nota técnica debe consignar el</w:t>
      </w:r>
      <w:r w:rsidRPr="008270B7">
        <w:rPr>
          <w:rFonts w:cs="Arial"/>
          <w:sz w:val="16"/>
          <w:szCs w:val="16"/>
          <w:lang w:val="es-CO"/>
        </w:rPr>
        <w:t xml:space="preserve"> porcentaje de retención del reasegurador,</w:t>
      </w:r>
      <w:r w:rsidRPr="008270B7">
        <w:rPr>
          <w:rFonts w:cs="Arial"/>
          <w:sz w:val="16"/>
          <w:szCs w:val="16"/>
        </w:rPr>
        <w:t xml:space="preserve"> la tasa que defina el reasegurador y los lineamientos técnicos a partir de los cuales se podrán aplicar tasas segmentadas, conforme a las características de los riesgos asegurados. La información de las tasas deberá indicar de manera expresa la temporalidad para la cual aplica. La tasa y los demás lineamientos técnicos aplicables deben estar en consonancia con el clausulado del contrato de reaseguro.</w:t>
      </w:r>
    </w:p>
    <w:p w14:paraId="1237133F" w14:textId="77777777" w:rsidR="003D3E9A" w:rsidRPr="008270B7" w:rsidRDefault="003D3E9A" w:rsidP="008270B7">
      <w:pPr>
        <w:jc w:val="both"/>
        <w:rPr>
          <w:rFonts w:cs="Arial"/>
          <w:sz w:val="16"/>
          <w:szCs w:val="16"/>
        </w:rPr>
      </w:pPr>
    </w:p>
    <w:p w14:paraId="65EA10FB" w14:textId="77777777" w:rsidR="003D3E9A" w:rsidRPr="008270B7" w:rsidRDefault="003D3E9A" w:rsidP="008270B7">
      <w:pPr>
        <w:jc w:val="both"/>
        <w:rPr>
          <w:rFonts w:cs="Arial"/>
          <w:sz w:val="16"/>
          <w:szCs w:val="16"/>
        </w:rPr>
      </w:pPr>
      <w:r w:rsidRPr="008270B7">
        <w:rPr>
          <w:rFonts w:cs="Arial"/>
          <w:sz w:val="16"/>
          <w:szCs w:val="16"/>
        </w:rPr>
        <w:t>En adición, las entidades aseguradoras deben mantener a disposición de la SFC los soportes que señalen que el reasegurador: (i) cuenta con experiencia suscribiendo productos asimilables al que pertenece la nota técnica, salvo en el caso de riesgos especiales o de carácter novedoso; (</w:t>
      </w:r>
      <w:proofErr w:type="spellStart"/>
      <w:r w:rsidRPr="008270B7">
        <w:rPr>
          <w:rFonts w:cs="Arial"/>
          <w:sz w:val="16"/>
          <w:szCs w:val="16"/>
        </w:rPr>
        <w:t>ii</w:t>
      </w:r>
      <w:proofErr w:type="spellEnd"/>
      <w:r w:rsidRPr="008270B7">
        <w:rPr>
          <w:rFonts w:cs="Arial"/>
          <w:sz w:val="16"/>
          <w:szCs w:val="16"/>
        </w:rPr>
        <w:t>) utilizó información cualitativa y/o estadística suficiente para la determinación de la tasa; y (</w:t>
      </w:r>
      <w:proofErr w:type="spellStart"/>
      <w:r w:rsidRPr="008270B7">
        <w:rPr>
          <w:rFonts w:cs="Arial"/>
          <w:sz w:val="16"/>
          <w:szCs w:val="16"/>
        </w:rPr>
        <w:t>iii</w:t>
      </w:r>
      <w:proofErr w:type="spellEnd"/>
      <w:r w:rsidRPr="008270B7">
        <w:rPr>
          <w:rFonts w:cs="Arial"/>
          <w:sz w:val="16"/>
          <w:szCs w:val="16"/>
        </w:rPr>
        <w:t xml:space="preserve">) empleó metodologías actuariales y estadísticas reconocidas internacionalmente para la fijación de la tasa, sin perjuicio de incorporar variables cualitativas para el efecto. </w:t>
      </w:r>
    </w:p>
    <w:p w14:paraId="5F9A56C2" w14:textId="77777777" w:rsidR="003D3E9A" w:rsidRPr="008270B7" w:rsidRDefault="003D3E9A" w:rsidP="008270B7">
      <w:pPr>
        <w:jc w:val="both"/>
        <w:rPr>
          <w:rFonts w:cs="Arial"/>
          <w:sz w:val="16"/>
          <w:szCs w:val="16"/>
        </w:rPr>
      </w:pPr>
    </w:p>
    <w:p w14:paraId="3EFF27B2" w14:textId="77777777" w:rsidR="003D3E9A" w:rsidRPr="008270B7" w:rsidRDefault="003D3E9A" w:rsidP="008270B7">
      <w:pPr>
        <w:jc w:val="both"/>
        <w:rPr>
          <w:rFonts w:cs="Arial"/>
          <w:sz w:val="16"/>
          <w:szCs w:val="16"/>
        </w:rPr>
      </w:pPr>
      <w:r w:rsidRPr="008270B7">
        <w:rPr>
          <w:rFonts w:cs="Arial"/>
          <w:sz w:val="16"/>
          <w:szCs w:val="16"/>
        </w:rPr>
        <w:t>1.8.3.3. Prima Comercial</w:t>
      </w:r>
    </w:p>
    <w:p w14:paraId="5DA29B9F" w14:textId="77777777" w:rsidR="003D3E9A" w:rsidRPr="008270B7" w:rsidRDefault="003D3E9A" w:rsidP="008270B7">
      <w:pPr>
        <w:jc w:val="both"/>
        <w:rPr>
          <w:rFonts w:cs="Arial"/>
          <w:sz w:val="16"/>
          <w:szCs w:val="16"/>
        </w:rPr>
      </w:pPr>
    </w:p>
    <w:p w14:paraId="4239194C" w14:textId="77777777" w:rsidR="003D3E9A" w:rsidRPr="008270B7" w:rsidRDefault="003D3E9A" w:rsidP="008270B7">
      <w:pPr>
        <w:jc w:val="both"/>
        <w:rPr>
          <w:rFonts w:cs="Arial"/>
          <w:sz w:val="16"/>
          <w:szCs w:val="16"/>
        </w:rPr>
      </w:pPr>
      <w:r w:rsidRPr="008270B7">
        <w:rPr>
          <w:rFonts w:cs="Arial"/>
          <w:sz w:val="16"/>
          <w:szCs w:val="16"/>
        </w:rPr>
        <w:t xml:space="preserve">La nota técnica debe consignar los procedimientos técnicos y actuariales, fórmulas, y parámetros utilizados para establecer la tasa comercial y su respectiva prima. En cuanto aplique, se deben incluir elementos tales como:  </w:t>
      </w:r>
    </w:p>
    <w:p w14:paraId="238C6016" w14:textId="77777777" w:rsidR="003D3E9A" w:rsidRPr="008270B7" w:rsidRDefault="003D3E9A" w:rsidP="008270B7">
      <w:pPr>
        <w:jc w:val="both"/>
        <w:rPr>
          <w:rFonts w:cs="Arial"/>
          <w:sz w:val="16"/>
          <w:szCs w:val="16"/>
        </w:rPr>
      </w:pPr>
    </w:p>
    <w:p w14:paraId="5B4EFFE9" w14:textId="77777777" w:rsidR="003D3E9A" w:rsidRPr="008270B7" w:rsidRDefault="003D3E9A" w:rsidP="008270B7">
      <w:pPr>
        <w:jc w:val="both"/>
        <w:rPr>
          <w:rFonts w:cs="Arial"/>
          <w:sz w:val="16"/>
          <w:szCs w:val="16"/>
        </w:rPr>
      </w:pPr>
      <w:r w:rsidRPr="008270B7">
        <w:rPr>
          <w:rFonts w:cs="Arial"/>
          <w:sz w:val="16"/>
          <w:szCs w:val="16"/>
        </w:rPr>
        <w:t xml:space="preserve">1.8.3.3.1. Gastos y comisiones: Se deben expresar de manera específica los recargos por concepto de gastos esperados por la aseguradora, entre otros, gastos de adquisición, gastos de administración, comisiones de intermediación y la forma en que se aplican. Si estos factores varían, se debe indicar de manera precisa los rangos en los cuales se encuentran. </w:t>
      </w:r>
    </w:p>
    <w:p w14:paraId="00BC7846" w14:textId="77777777" w:rsidR="003D3E9A" w:rsidRPr="008270B7" w:rsidRDefault="003D3E9A" w:rsidP="008270B7">
      <w:pPr>
        <w:jc w:val="both"/>
        <w:rPr>
          <w:rFonts w:cs="Arial"/>
          <w:sz w:val="16"/>
          <w:szCs w:val="16"/>
        </w:rPr>
      </w:pPr>
    </w:p>
    <w:p w14:paraId="595EB4C0" w14:textId="77777777" w:rsidR="003D3E9A" w:rsidRPr="008270B7" w:rsidRDefault="003D3E9A" w:rsidP="008270B7">
      <w:pPr>
        <w:jc w:val="both"/>
        <w:rPr>
          <w:rFonts w:cs="Arial"/>
          <w:sz w:val="16"/>
          <w:szCs w:val="16"/>
        </w:rPr>
      </w:pPr>
      <w:r w:rsidRPr="008270B7">
        <w:rPr>
          <w:rFonts w:cs="Arial"/>
          <w:sz w:val="16"/>
          <w:szCs w:val="16"/>
        </w:rPr>
        <w:t xml:space="preserve">1.8.3.3.2. Riesgo y utilidad: Se debe incluir el margen por riesgo y/o utilidad esperada por la aseguradora y la forma en que se aplica. Si estos factores varían, se debe indicar de manera precisa los rangos en los cuales se encuentran. </w:t>
      </w:r>
    </w:p>
    <w:p w14:paraId="214900BF" w14:textId="77777777" w:rsidR="003D3E9A" w:rsidRPr="008270B7" w:rsidRDefault="003D3E9A" w:rsidP="008270B7">
      <w:pPr>
        <w:jc w:val="both"/>
        <w:rPr>
          <w:rFonts w:cs="Arial"/>
          <w:sz w:val="16"/>
          <w:szCs w:val="16"/>
        </w:rPr>
      </w:pPr>
    </w:p>
    <w:p w14:paraId="08AE59E9" w14:textId="77777777" w:rsidR="003D3E9A" w:rsidRPr="008270B7" w:rsidRDefault="003D3E9A" w:rsidP="008270B7">
      <w:pPr>
        <w:jc w:val="both"/>
        <w:rPr>
          <w:rFonts w:cs="Arial"/>
          <w:sz w:val="16"/>
          <w:szCs w:val="16"/>
        </w:rPr>
      </w:pPr>
      <w:r w:rsidRPr="008270B7">
        <w:rPr>
          <w:rFonts w:cs="Arial"/>
          <w:sz w:val="16"/>
          <w:szCs w:val="16"/>
        </w:rPr>
        <w:t>1.8.3.3.3. Recargos y descuentos: Se deben informar los recargos y descuentos contemplados, señalando su metodología de cálculo.</w:t>
      </w:r>
    </w:p>
    <w:p w14:paraId="23BBEDCD" w14:textId="77777777" w:rsidR="003D3E9A" w:rsidRPr="008270B7" w:rsidRDefault="003D3E9A" w:rsidP="008270B7">
      <w:pPr>
        <w:jc w:val="both"/>
        <w:rPr>
          <w:rFonts w:cs="Arial"/>
          <w:sz w:val="16"/>
          <w:szCs w:val="16"/>
        </w:rPr>
      </w:pPr>
    </w:p>
    <w:p w14:paraId="7B9EA71D" w14:textId="77777777" w:rsidR="003D3E9A" w:rsidRPr="008270B7" w:rsidRDefault="003D3E9A" w:rsidP="008270B7">
      <w:pPr>
        <w:jc w:val="both"/>
        <w:rPr>
          <w:rFonts w:cs="Arial"/>
          <w:sz w:val="16"/>
          <w:szCs w:val="16"/>
        </w:rPr>
      </w:pPr>
      <w:r w:rsidRPr="008270B7">
        <w:rPr>
          <w:rFonts w:cs="Arial"/>
          <w:sz w:val="16"/>
          <w:szCs w:val="16"/>
        </w:rPr>
        <w:t xml:space="preserve">1.8.3.4. Otros Aspectos </w:t>
      </w:r>
    </w:p>
    <w:p w14:paraId="107DF4FB" w14:textId="77777777" w:rsidR="003D3E9A" w:rsidRPr="008270B7" w:rsidRDefault="003D3E9A" w:rsidP="008270B7">
      <w:pPr>
        <w:jc w:val="both"/>
        <w:rPr>
          <w:rFonts w:cs="Arial"/>
          <w:sz w:val="16"/>
          <w:szCs w:val="16"/>
        </w:rPr>
      </w:pPr>
    </w:p>
    <w:p w14:paraId="4B2BF4F5" w14:textId="77777777" w:rsidR="003D3E9A" w:rsidRPr="008270B7" w:rsidRDefault="003D3E9A" w:rsidP="008270B7">
      <w:pPr>
        <w:jc w:val="both"/>
        <w:rPr>
          <w:rFonts w:cs="Arial"/>
          <w:sz w:val="16"/>
          <w:szCs w:val="16"/>
        </w:rPr>
      </w:pPr>
      <w:r w:rsidRPr="008270B7">
        <w:rPr>
          <w:rFonts w:cs="Arial"/>
          <w:sz w:val="16"/>
          <w:szCs w:val="16"/>
        </w:rPr>
        <w:t>Debe consignarse cualquier otro concepto o procedimiento técnico que a juicio del actuario que firma la nota técnica sea necesario para la adecuada implementación del producto, tales como:</w:t>
      </w:r>
    </w:p>
    <w:p w14:paraId="7061488C" w14:textId="77777777" w:rsidR="003D3E9A" w:rsidRPr="008270B7" w:rsidRDefault="003D3E9A" w:rsidP="008270B7">
      <w:pPr>
        <w:jc w:val="both"/>
        <w:rPr>
          <w:rFonts w:cs="Arial"/>
          <w:sz w:val="16"/>
          <w:szCs w:val="16"/>
        </w:rPr>
      </w:pPr>
    </w:p>
    <w:p w14:paraId="5F291220" w14:textId="77777777" w:rsidR="003D3E9A" w:rsidRPr="008270B7" w:rsidRDefault="003D3E9A" w:rsidP="008270B7">
      <w:pPr>
        <w:jc w:val="both"/>
        <w:rPr>
          <w:rFonts w:cs="Arial"/>
          <w:sz w:val="16"/>
          <w:szCs w:val="16"/>
        </w:rPr>
      </w:pPr>
      <w:r w:rsidRPr="008270B7">
        <w:rPr>
          <w:rFonts w:cs="Arial"/>
          <w:sz w:val="16"/>
          <w:szCs w:val="16"/>
        </w:rPr>
        <w:t xml:space="preserve">1.8.3.4.1. </w:t>
      </w:r>
      <w:proofErr w:type="spellStart"/>
      <w:r w:rsidRPr="008270B7">
        <w:rPr>
          <w:rFonts w:cs="Arial"/>
          <w:sz w:val="16"/>
          <w:szCs w:val="16"/>
        </w:rPr>
        <w:t>Extraprimas</w:t>
      </w:r>
      <w:proofErr w:type="spellEnd"/>
      <w:r w:rsidRPr="008270B7">
        <w:rPr>
          <w:rFonts w:cs="Arial"/>
          <w:sz w:val="16"/>
          <w:szCs w:val="16"/>
        </w:rPr>
        <w:t>:</w:t>
      </w:r>
      <w:r w:rsidRPr="008270B7">
        <w:rPr>
          <w:rFonts w:cs="Arial"/>
          <w:sz w:val="16"/>
          <w:szCs w:val="16"/>
          <w:lang w:val="es-MX"/>
        </w:rPr>
        <w:t xml:space="preserve"> </w:t>
      </w:r>
      <w:r w:rsidRPr="008270B7">
        <w:rPr>
          <w:rFonts w:cs="Arial"/>
          <w:sz w:val="16"/>
          <w:szCs w:val="16"/>
        </w:rPr>
        <w:t xml:space="preserve">Se deben consignar los procedimientos técnicos, actuariales y financieros utilizados para establecerlas. </w:t>
      </w:r>
    </w:p>
    <w:p w14:paraId="45A94BC9" w14:textId="77777777" w:rsidR="003D3E9A" w:rsidRPr="008270B7" w:rsidRDefault="003D3E9A" w:rsidP="008270B7">
      <w:pPr>
        <w:jc w:val="both"/>
        <w:rPr>
          <w:rFonts w:cs="Arial"/>
          <w:sz w:val="16"/>
          <w:szCs w:val="16"/>
        </w:rPr>
      </w:pPr>
    </w:p>
    <w:p w14:paraId="0ACD4905" w14:textId="77777777" w:rsidR="003D3E9A" w:rsidRPr="008270B7" w:rsidRDefault="003D3E9A" w:rsidP="008270B7">
      <w:pPr>
        <w:jc w:val="both"/>
        <w:rPr>
          <w:rFonts w:cs="Arial"/>
          <w:sz w:val="16"/>
          <w:szCs w:val="16"/>
        </w:rPr>
      </w:pPr>
      <w:r w:rsidRPr="008270B7">
        <w:rPr>
          <w:rFonts w:cs="Arial"/>
          <w:sz w:val="16"/>
          <w:szCs w:val="16"/>
        </w:rPr>
        <w:t>1.8.3.4.2. Fraccionamiento de primas:  En el evento en que se contemple el fraccionamiento de primas, se deben expresar y sustentar los recargos establecidos para cada opción de fraccionamiento y la metodología utilizada para el cálculo de la prima fraccionada.</w:t>
      </w:r>
    </w:p>
    <w:p w14:paraId="007706FB" w14:textId="77777777" w:rsidR="003D3E9A" w:rsidRPr="008270B7" w:rsidRDefault="003D3E9A" w:rsidP="008270B7">
      <w:pPr>
        <w:jc w:val="both"/>
        <w:rPr>
          <w:rFonts w:cs="Arial"/>
          <w:sz w:val="16"/>
          <w:szCs w:val="16"/>
        </w:rPr>
      </w:pPr>
    </w:p>
    <w:p w14:paraId="71538D91" w14:textId="77777777" w:rsidR="003D3E9A" w:rsidRPr="008270B7" w:rsidRDefault="003D3E9A" w:rsidP="008270B7">
      <w:pPr>
        <w:jc w:val="both"/>
        <w:rPr>
          <w:rFonts w:cs="Arial"/>
          <w:sz w:val="16"/>
          <w:szCs w:val="16"/>
        </w:rPr>
      </w:pPr>
      <w:r w:rsidRPr="008270B7">
        <w:rPr>
          <w:rFonts w:cs="Arial"/>
          <w:sz w:val="16"/>
          <w:szCs w:val="16"/>
        </w:rPr>
        <w:t>1.8.3.4.3. Participación de utilidades: Se debe consignar la metodología con la que se calcula la participación de utilidades, en caso de aplicar.</w:t>
      </w:r>
    </w:p>
    <w:p w14:paraId="2D6AF155" w14:textId="77777777" w:rsidR="003D3E9A" w:rsidRPr="008270B7" w:rsidRDefault="003D3E9A" w:rsidP="008270B7">
      <w:pPr>
        <w:jc w:val="both"/>
        <w:rPr>
          <w:rFonts w:cs="Arial"/>
          <w:sz w:val="16"/>
          <w:szCs w:val="16"/>
        </w:rPr>
      </w:pPr>
    </w:p>
    <w:p w14:paraId="7AB9206B" w14:textId="77777777" w:rsidR="003D3E9A" w:rsidRPr="008270B7" w:rsidRDefault="003D3E9A" w:rsidP="008270B7">
      <w:pPr>
        <w:jc w:val="both"/>
        <w:rPr>
          <w:rFonts w:cs="Arial"/>
          <w:sz w:val="16"/>
          <w:szCs w:val="16"/>
        </w:rPr>
      </w:pPr>
      <w:r w:rsidRPr="008270B7">
        <w:rPr>
          <w:rFonts w:cs="Arial"/>
          <w:sz w:val="16"/>
          <w:szCs w:val="16"/>
        </w:rPr>
        <w:t xml:space="preserve">1.8.3.4.4. Valores garantizados: Se debe detallar el cálculo y forma en que se otorgan valores garantizados, en caso de aplicar. </w:t>
      </w:r>
    </w:p>
    <w:p w14:paraId="2B1DA135" w14:textId="77777777" w:rsidR="003D3E9A" w:rsidRPr="008270B7" w:rsidRDefault="003D3E9A" w:rsidP="008270B7">
      <w:pPr>
        <w:jc w:val="both"/>
        <w:rPr>
          <w:rFonts w:cs="Arial"/>
          <w:sz w:val="16"/>
          <w:szCs w:val="16"/>
        </w:rPr>
      </w:pPr>
    </w:p>
    <w:p w14:paraId="2ABE3D4E" w14:textId="77777777" w:rsidR="003D3E9A" w:rsidRPr="008270B7" w:rsidRDefault="003D3E9A" w:rsidP="008270B7">
      <w:pPr>
        <w:jc w:val="both"/>
        <w:rPr>
          <w:rFonts w:cs="Arial"/>
          <w:sz w:val="16"/>
          <w:szCs w:val="16"/>
        </w:rPr>
      </w:pPr>
      <w:r w:rsidRPr="008270B7">
        <w:rPr>
          <w:rFonts w:cs="Arial"/>
          <w:sz w:val="16"/>
          <w:szCs w:val="16"/>
        </w:rPr>
        <w:t>1.8.3.4.5. Fondos de ahorro: Se deben definir los conceptos por los que se generan los fondos de ahorro, su metodología de cálculo, así como la forma en que se administrarán.</w:t>
      </w:r>
    </w:p>
    <w:p w14:paraId="5F42A503" w14:textId="77777777" w:rsidR="003D3E9A" w:rsidRPr="008270B7" w:rsidRDefault="003D3E9A" w:rsidP="008270B7">
      <w:pPr>
        <w:jc w:val="both"/>
        <w:rPr>
          <w:rFonts w:cs="Arial"/>
          <w:sz w:val="16"/>
          <w:szCs w:val="16"/>
        </w:rPr>
      </w:pPr>
    </w:p>
    <w:p w14:paraId="1AC14F77" w14:textId="77777777" w:rsidR="003D3E9A" w:rsidRPr="008270B7" w:rsidRDefault="003D3E9A" w:rsidP="008270B7">
      <w:pPr>
        <w:jc w:val="both"/>
        <w:rPr>
          <w:rFonts w:cs="Arial"/>
          <w:sz w:val="16"/>
          <w:szCs w:val="16"/>
        </w:rPr>
      </w:pPr>
      <w:r w:rsidRPr="008270B7">
        <w:rPr>
          <w:rFonts w:cs="Arial"/>
          <w:sz w:val="16"/>
          <w:szCs w:val="16"/>
        </w:rPr>
        <w:t xml:space="preserve">1.8.3.4.6. Reaseguros: En el evento en que el producto sea objeto de reaseguro se debe informar la modalidad </w:t>
      </w:r>
      <w:proofErr w:type="gramStart"/>
      <w:r w:rsidRPr="008270B7">
        <w:rPr>
          <w:rFonts w:cs="Arial"/>
          <w:sz w:val="16"/>
          <w:szCs w:val="16"/>
        </w:rPr>
        <w:t>del mismo</w:t>
      </w:r>
      <w:proofErr w:type="gramEnd"/>
      <w:r w:rsidRPr="008270B7">
        <w:rPr>
          <w:rFonts w:cs="Arial"/>
          <w:sz w:val="16"/>
          <w:szCs w:val="16"/>
        </w:rPr>
        <w:t xml:space="preserve">.  </w:t>
      </w:r>
    </w:p>
    <w:p w14:paraId="051246E0" w14:textId="77777777" w:rsidR="003D3E9A" w:rsidRPr="008270B7" w:rsidRDefault="003D3E9A" w:rsidP="008270B7">
      <w:pPr>
        <w:jc w:val="both"/>
        <w:rPr>
          <w:rFonts w:cs="Arial"/>
          <w:sz w:val="16"/>
          <w:szCs w:val="16"/>
        </w:rPr>
      </w:pPr>
    </w:p>
    <w:p w14:paraId="0219F285" w14:textId="77777777" w:rsidR="003D3E9A" w:rsidRPr="008270B7" w:rsidRDefault="003D3E9A" w:rsidP="008270B7">
      <w:pPr>
        <w:jc w:val="both"/>
        <w:rPr>
          <w:rFonts w:cs="Arial"/>
          <w:sz w:val="16"/>
          <w:szCs w:val="16"/>
        </w:rPr>
      </w:pPr>
      <w:r w:rsidRPr="008270B7">
        <w:rPr>
          <w:rFonts w:cs="Arial"/>
          <w:sz w:val="16"/>
          <w:szCs w:val="16"/>
        </w:rPr>
        <w:t>1.8.3.5. Reservas</w:t>
      </w:r>
    </w:p>
    <w:p w14:paraId="2935AD28" w14:textId="6FBB5E34" w:rsidR="003D3E9A" w:rsidRPr="008270B7" w:rsidRDefault="003D3E9A" w:rsidP="008270B7">
      <w:pPr>
        <w:jc w:val="both"/>
        <w:rPr>
          <w:rFonts w:cs="Arial"/>
          <w:sz w:val="16"/>
          <w:szCs w:val="16"/>
        </w:rPr>
        <w:sectPr w:rsidR="003D3E9A" w:rsidRPr="008270B7" w:rsidSect="00697CF2">
          <w:footerReference w:type="first" r:id="rId45"/>
          <w:pgSz w:w="12240" w:h="18720" w:code="257"/>
          <w:pgMar w:top="1417" w:right="1701" w:bottom="1417" w:left="1701" w:header="709" w:footer="865" w:gutter="0"/>
          <w:cols w:space="708"/>
          <w:titlePg/>
          <w:docGrid w:linePitch="360"/>
        </w:sectPr>
      </w:pPr>
    </w:p>
    <w:p w14:paraId="0B40B0B3" w14:textId="77777777" w:rsidR="003D3E9A" w:rsidRPr="008270B7" w:rsidRDefault="003D3E9A" w:rsidP="008270B7">
      <w:pPr>
        <w:jc w:val="both"/>
        <w:rPr>
          <w:rFonts w:cs="Arial"/>
          <w:sz w:val="16"/>
          <w:szCs w:val="16"/>
        </w:rPr>
      </w:pPr>
      <w:r w:rsidRPr="008270B7">
        <w:rPr>
          <w:rFonts w:cs="Arial"/>
          <w:sz w:val="16"/>
          <w:szCs w:val="16"/>
        </w:rPr>
        <w:lastRenderedPageBreak/>
        <w:t xml:space="preserve">En la nota técnica también se deben indicar las reservas que se constituirán. En los eventos en los cuales no se tenga como referencia la metodología definida en la normatividad vigente, se debe consignar en forma detallada la metodología para su cálculo. </w:t>
      </w:r>
    </w:p>
    <w:p w14:paraId="4BC77C59" w14:textId="77777777" w:rsidR="003D3E9A" w:rsidRPr="008270B7" w:rsidRDefault="003D3E9A" w:rsidP="008270B7">
      <w:pPr>
        <w:jc w:val="both"/>
        <w:rPr>
          <w:rFonts w:cs="Arial"/>
          <w:sz w:val="16"/>
          <w:szCs w:val="16"/>
        </w:rPr>
      </w:pPr>
    </w:p>
    <w:p w14:paraId="3EFA3A73" w14:textId="77777777" w:rsidR="003D3E9A" w:rsidRPr="008270B7" w:rsidRDefault="003D3E9A" w:rsidP="008270B7">
      <w:pPr>
        <w:jc w:val="both"/>
        <w:rPr>
          <w:rFonts w:cs="Arial"/>
          <w:sz w:val="16"/>
          <w:szCs w:val="16"/>
        </w:rPr>
      </w:pPr>
      <w:r w:rsidRPr="008270B7">
        <w:rPr>
          <w:rFonts w:cs="Arial"/>
          <w:sz w:val="16"/>
          <w:szCs w:val="16"/>
        </w:rPr>
        <w:t>1.8.4. Resultados</w:t>
      </w:r>
    </w:p>
    <w:p w14:paraId="20A118A2" w14:textId="77777777" w:rsidR="003D3E9A" w:rsidRPr="008270B7" w:rsidRDefault="003D3E9A" w:rsidP="008270B7">
      <w:pPr>
        <w:jc w:val="both"/>
        <w:rPr>
          <w:rFonts w:cs="Arial"/>
          <w:sz w:val="16"/>
          <w:szCs w:val="16"/>
        </w:rPr>
      </w:pPr>
    </w:p>
    <w:p w14:paraId="5F3AC3EF" w14:textId="77777777" w:rsidR="003D3E9A" w:rsidRPr="008270B7" w:rsidRDefault="003D3E9A" w:rsidP="008270B7">
      <w:pPr>
        <w:jc w:val="both"/>
        <w:rPr>
          <w:rFonts w:cs="Arial"/>
          <w:sz w:val="16"/>
          <w:szCs w:val="16"/>
        </w:rPr>
      </w:pPr>
      <w:r w:rsidRPr="008270B7">
        <w:rPr>
          <w:rFonts w:cs="Arial"/>
          <w:sz w:val="16"/>
          <w:szCs w:val="16"/>
        </w:rPr>
        <w:t>Se debe anexar en hoja de cálculo en un medio digital, la aplicación detallada de la formulación expuesta en el documento para el cálculo de las primas de riesgo, comercial, reservas, valores garantizados y participación de utilidades, así como cualquier otro desarrollo mostrado en la nota técnica.</w:t>
      </w:r>
    </w:p>
    <w:p w14:paraId="6C7B93CB" w14:textId="77777777" w:rsidR="003D3E9A" w:rsidRPr="008270B7" w:rsidRDefault="003D3E9A" w:rsidP="008270B7">
      <w:pPr>
        <w:jc w:val="both"/>
        <w:rPr>
          <w:rFonts w:cs="Arial"/>
          <w:sz w:val="16"/>
          <w:szCs w:val="16"/>
        </w:rPr>
      </w:pPr>
    </w:p>
    <w:p w14:paraId="5BE1C922" w14:textId="77777777" w:rsidR="003D3E9A" w:rsidRPr="008270B7" w:rsidRDefault="003D3E9A" w:rsidP="008270B7">
      <w:pPr>
        <w:jc w:val="both"/>
        <w:rPr>
          <w:rFonts w:cs="Arial"/>
          <w:sz w:val="16"/>
          <w:szCs w:val="16"/>
        </w:rPr>
      </w:pPr>
      <w:r w:rsidRPr="008270B7">
        <w:rPr>
          <w:rFonts w:cs="Arial"/>
          <w:sz w:val="16"/>
          <w:szCs w:val="16"/>
        </w:rPr>
        <w:t>1.8.5. Nombre y firma del actuario que elaboró la nota técnica.</w:t>
      </w:r>
    </w:p>
    <w:p w14:paraId="7FEDF6E3" w14:textId="77777777" w:rsidR="003D3E9A" w:rsidRPr="008270B7" w:rsidRDefault="003D3E9A" w:rsidP="008270B7">
      <w:pPr>
        <w:tabs>
          <w:tab w:val="left" w:pos="720"/>
        </w:tabs>
        <w:jc w:val="both"/>
        <w:rPr>
          <w:rFonts w:cs="Arial"/>
          <w:sz w:val="16"/>
          <w:szCs w:val="16"/>
        </w:rPr>
      </w:pPr>
    </w:p>
    <w:p w14:paraId="672564FD" w14:textId="77777777" w:rsidR="003D3E9A" w:rsidRPr="008270B7" w:rsidRDefault="003D3E9A" w:rsidP="008270B7">
      <w:pPr>
        <w:tabs>
          <w:tab w:val="left" w:pos="720"/>
          <w:tab w:val="left" w:pos="1064"/>
          <w:tab w:val="left" w:pos="2057"/>
          <w:tab w:val="left" w:pos="9639"/>
        </w:tabs>
        <w:ind w:right="51"/>
        <w:jc w:val="both"/>
        <w:rPr>
          <w:rFonts w:cs="Arial"/>
          <w:sz w:val="16"/>
          <w:szCs w:val="16"/>
          <w:lang w:val="es-ES_tradnl"/>
        </w:rPr>
      </w:pPr>
      <w:r w:rsidRPr="008270B7">
        <w:rPr>
          <w:rFonts w:cs="Arial"/>
          <w:sz w:val="16"/>
          <w:szCs w:val="16"/>
          <w:lang w:val="es-ES_tradnl"/>
        </w:rPr>
        <w:t>1.9 Devolución de primas</w:t>
      </w:r>
    </w:p>
    <w:p w14:paraId="20A027F0" w14:textId="77777777" w:rsidR="003D3E9A" w:rsidRPr="008270B7" w:rsidRDefault="003D3E9A" w:rsidP="008270B7">
      <w:pPr>
        <w:tabs>
          <w:tab w:val="left" w:pos="720"/>
          <w:tab w:val="left" w:pos="1064"/>
          <w:tab w:val="left" w:pos="2057"/>
          <w:tab w:val="left" w:pos="9639"/>
        </w:tabs>
        <w:ind w:right="51"/>
        <w:jc w:val="both"/>
        <w:rPr>
          <w:rFonts w:cs="Arial"/>
          <w:sz w:val="16"/>
          <w:szCs w:val="16"/>
          <w:lang w:val="es-ES_tradnl"/>
        </w:rPr>
      </w:pPr>
    </w:p>
    <w:p w14:paraId="0EEAC178" w14:textId="4B084F8A" w:rsidR="001602EA" w:rsidRPr="008270B7" w:rsidRDefault="003D3E9A" w:rsidP="008270B7">
      <w:pPr>
        <w:tabs>
          <w:tab w:val="left" w:pos="720"/>
        </w:tabs>
        <w:jc w:val="both"/>
        <w:rPr>
          <w:rFonts w:cs="Arial"/>
          <w:sz w:val="16"/>
          <w:szCs w:val="27"/>
        </w:rPr>
      </w:pPr>
      <w:r w:rsidRPr="008270B7">
        <w:rPr>
          <w:rStyle w:val="Ninguno"/>
          <w:sz w:val="16"/>
          <w:szCs w:val="16"/>
          <w:lang w:val="es-CO"/>
        </w:rPr>
        <w:t xml:space="preserve">Para la devolución del valor de la prima estipulada </w:t>
      </w:r>
      <w:r w:rsidRPr="008270B7">
        <w:rPr>
          <w:rFonts w:cs="Arial"/>
          <w:sz w:val="16"/>
          <w:szCs w:val="27"/>
        </w:rPr>
        <w:t xml:space="preserve">por circunstancias generalizadas de disminución del riesgo que se presenten de conformidad con el art. 1065 del </w:t>
      </w:r>
      <w:proofErr w:type="spellStart"/>
      <w:r w:rsidRPr="008270B7">
        <w:rPr>
          <w:rFonts w:cs="Arial"/>
          <w:sz w:val="16"/>
          <w:szCs w:val="27"/>
        </w:rPr>
        <w:t>C.Cio</w:t>
      </w:r>
      <w:proofErr w:type="spellEnd"/>
      <w:r w:rsidRPr="008270B7">
        <w:rPr>
          <w:rFonts w:cs="Arial"/>
          <w:sz w:val="16"/>
          <w:szCs w:val="27"/>
        </w:rPr>
        <w:t>, las entidades aseguradoras deben establecer políticas y metodologías internas con el fin de: (i) identificar los productos respecto de los cuales exista una disminución del riesgo, (</w:t>
      </w:r>
      <w:proofErr w:type="spellStart"/>
      <w:r w:rsidRPr="008270B7">
        <w:rPr>
          <w:rFonts w:cs="Arial"/>
          <w:sz w:val="16"/>
          <w:szCs w:val="27"/>
        </w:rPr>
        <w:t>ii</w:t>
      </w:r>
      <w:proofErr w:type="spellEnd"/>
      <w:r w:rsidRPr="008270B7">
        <w:rPr>
          <w:rFonts w:cs="Arial"/>
          <w:sz w:val="16"/>
          <w:szCs w:val="27"/>
        </w:rPr>
        <w:t>) cuantificar la disminución del riesgo y la reducción correspondiente de la prima, (</w:t>
      </w:r>
      <w:proofErr w:type="spellStart"/>
      <w:r w:rsidRPr="008270B7">
        <w:rPr>
          <w:rFonts w:cs="Arial"/>
          <w:sz w:val="16"/>
          <w:szCs w:val="27"/>
        </w:rPr>
        <w:t>iii</w:t>
      </w:r>
      <w:proofErr w:type="spellEnd"/>
      <w:r w:rsidRPr="008270B7">
        <w:rPr>
          <w:rFonts w:cs="Arial"/>
          <w:sz w:val="16"/>
          <w:szCs w:val="27"/>
        </w:rPr>
        <w:t>) definir procedimientos idóneos para aplicar tales mecanismos y (</w:t>
      </w:r>
      <w:proofErr w:type="spellStart"/>
      <w:r w:rsidRPr="008270B7">
        <w:rPr>
          <w:rFonts w:cs="Arial"/>
          <w:sz w:val="16"/>
          <w:szCs w:val="27"/>
        </w:rPr>
        <w:t>iv</w:t>
      </w:r>
      <w:proofErr w:type="spellEnd"/>
      <w:r w:rsidRPr="008270B7">
        <w:rPr>
          <w:rFonts w:cs="Arial"/>
          <w:sz w:val="16"/>
          <w:szCs w:val="27"/>
        </w:rPr>
        <w:t>) comunicar de forma amplia, los canales, productos y procedimientos para hacer efectiva la devolución en dinero. No obstante, la entidad podrá definir y ofrecer otros mecanismos distintos a la devolución en dinero, siempre que el tomador los acepte de manera expresa o tácita, por ejemplo: la extensión en la cobertura del seguro.</w:t>
      </w:r>
    </w:p>
    <w:p w14:paraId="18E04B74" w14:textId="77777777" w:rsidR="003D3E9A" w:rsidRPr="008270B7" w:rsidRDefault="003D3E9A" w:rsidP="008270B7">
      <w:pPr>
        <w:tabs>
          <w:tab w:val="left" w:pos="720"/>
        </w:tabs>
        <w:jc w:val="both"/>
        <w:rPr>
          <w:rFonts w:cs="Arial"/>
          <w:sz w:val="16"/>
          <w:szCs w:val="16"/>
        </w:rPr>
      </w:pPr>
    </w:p>
    <w:p w14:paraId="5F0CD223" w14:textId="77777777" w:rsidR="000D3236" w:rsidRPr="008270B7" w:rsidRDefault="000D3236" w:rsidP="008270B7">
      <w:pPr>
        <w:tabs>
          <w:tab w:val="left" w:pos="720"/>
        </w:tabs>
        <w:jc w:val="both"/>
        <w:rPr>
          <w:rFonts w:cs="Arial"/>
          <w:sz w:val="16"/>
          <w:szCs w:val="16"/>
        </w:rPr>
        <w:sectPr w:rsidR="000D3236" w:rsidRPr="008270B7" w:rsidSect="00697CF2">
          <w:headerReference w:type="first" r:id="rId46"/>
          <w:footerReference w:type="first" r:id="rId47"/>
          <w:pgSz w:w="12240" w:h="18720" w:code="257"/>
          <w:pgMar w:top="1417" w:right="1701" w:bottom="1417" w:left="1701" w:header="709" w:footer="865" w:gutter="0"/>
          <w:cols w:space="708"/>
          <w:titlePg/>
          <w:docGrid w:linePitch="360"/>
        </w:sectPr>
      </w:pPr>
    </w:p>
    <w:p w14:paraId="09E6813E" w14:textId="77777777" w:rsidR="00577AB4" w:rsidRPr="008270B7" w:rsidRDefault="00577AB4" w:rsidP="008270B7">
      <w:pPr>
        <w:pStyle w:val="Ttulo1"/>
        <w:spacing w:before="0" w:after="0"/>
        <w:jc w:val="both"/>
        <w:rPr>
          <w:b w:val="0"/>
          <w:bCs w:val="0"/>
          <w:szCs w:val="16"/>
        </w:rPr>
      </w:pPr>
      <w:bookmarkStart w:id="8" w:name="_Toc269950162"/>
      <w:r w:rsidRPr="008270B7">
        <w:rPr>
          <w:b w:val="0"/>
          <w:bCs w:val="0"/>
          <w:szCs w:val="16"/>
        </w:rPr>
        <w:lastRenderedPageBreak/>
        <w:t>2. ASPECTOS FINANCIEROS LAS ENTIDADES ASEGURADORAS</w:t>
      </w:r>
      <w:bookmarkEnd w:id="8"/>
    </w:p>
    <w:p w14:paraId="6AF8CE56" w14:textId="77777777" w:rsidR="00577AB4" w:rsidRPr="008270B7" w:rsidRDefault="00577AB4" w:rsidP="008270B7">
      <w:pPr>
        <w:tabs>
          <w:tab w:val="left" w:pos="720"/>
        </w:tabs>
        <w:jc w:val="both"/>
        <w:rPr>
          <w:rFonts w:cs="Arial"/>
          <w:sz w:val="16"/>
          <w:szCs w:val="16"/>
        </w:rPr>
      </w:pPr>
    </w:p>
    <w:p w14:paraId="66109687" w14:textId="77777777" w:rsidR="00577AB4" w:rsidRPr="008270B7" w:rsidRDefault="00577AB4" w:rsidP="008270B7">
      <w:pPr>
        <w:pStyle w:val="Ttulo2"/>
        <w:jc w:val="both"/>
        <w:rPr>
          <w:b w:val="0"/>
          <w:bCs w:val="0"/>
          <w:szCs w:val="16"/>
        </w:rPr>
      </w:pPr>
      <w:bookmarkStart w:id="9" w:name="_Toc269950163"/>
      <w:r w:rsidRPr="008270B7">
        <w:rPr>
          <w:b w:val="0"/>
          <w:bCs w:val="0"/>
          <w:szCs w:val="16"/>
        </w:rPr>
        <w:t>2.1. Régimen patrimonial</w:t>
      </w:r>
      <w:bookmarkEnd w:id="9"/>
      <w:r w:rsidRPr="008270B7">
        <w:rPr>
          <w:b w:val="0"/>
          <w:bCs w:val="0"/>
          <w:szCs w:val="16"/>
        </w:rPr>
        <w:t xml:space="preserve"> </w:t>
      </w:r>
    </w:p>
    <w:p w14:paraId="256B986E" w14:textId="77777777" w:rsidR="00577AB4" w:rsidRPr="008270B7" w:rsidRDefault="00577AB4" w:rsidP="008270B7">
      <w:pPr>
        <w:jc w:val="both"/>
      </w:pPr>
    </w:p>
    <w:p w14:paraId="2BC37034" w14:textId="77777777" w:rsidR="00577AB4" w:rsidRPr="008270B7" w:rsidRDefault="00577AB4" w:rsidP="008270B7">
      <w:pPr>
        <w:jc w:val="both"/>
        <w:rPr>
          <w:sz w:val="16"/>
          <w:szCs w:val="12"/>
        </w:rPr>
      </w:pPr>
      <w:r w:rsidRPr="008270B7">
        <w:rPr>
          <w:sz w:val="16"/>
          <w:szCs w:val="12"/>
        </w:rPr>
        <w:t>El presente numeral señala los criterios y parámetros que las entidades aseguradoras deben observar para el cumplimiento del régimen de patrimonio adecuado establecido en el Título 1 del Libro 31 de la Parte 2 del Decreto 2555 de 2010.</w:t>
      </w:r>
    </w:p>
    <w:p w14:paraId="03B4563B" w14:textId="77777777" w:rsidR="00577AB4" w:rsidRPr="008270B7" w:rsidRDefault="00577AB4" w:rsidP="008270B7">
      <w:pPr>
        <w:tabs>
          <w:tab w:val="left" w:pos="720"/>
        </w:tabs>
        <w:jc w:val="both"/>
        <w:rPr>
          <w:rFonts w:cs="Arial"/>
          <w:sz w:val="16"/>
          <w:szCs w:val="16"/>
        </w:rPr>
      </w:pPr>
    </w:p>
    <w:p w14:paraId="385CD905" w14:textId="77777777" w:rsidR="00577AB4" w:rsidRPr="008270B7" w:rsidRDefault="00577AB4" w:rsidP="008270B7">
      <w:pPr>
        <w:rPr>
          <w:sz w:val="16"/>
          <w:szCs w:val="16"/>
        </w:rPr>
      </w:pPr>
      <w:r w:rsidRPr="008270B7">
        <w:rPr>
          <w:sz w:val="16"/>
          <w:szCs w:val="16"/>
        </w:rPr>
        <w:t>2.1.1. Patrimonio técnico</w:t>
      </w:r>
    </w:p>
    <w:p w14:paraId="5CFE6883" w14:textId="77777777" w:rsidR="00577AB4" w:rsidRPr="008270B7" w:rsidRDefault="00577AB4" w:rsidP="008270B7">
      <w:pPr>
        <w:jc w:val="both"/>
        <w:rPr>
          <w:sz w:val="16"/>
          <w:szCs w:val="16"/>
        </w:rPr>
      </w:pPr>
    </w:p>
    <w:p w14:paraId="26FC3F4F" w14:textId="77777777" w:rsidR="00577AB4" w:rsidRPr="008270B7" w:rsidRDefault="00577AB4" w:rsidP="008270B7">
      <w:pPr>
        <w:jc w:val="both"/>
        <w:rPr>
          <w:sz w:val="16"/>
          <w:szCs w:val="16"/>
        </w:rPr>
      </w:pPr>
      <w:r w:rsidRPr="008270B7">
        <w:rPr>
          <w:sz w:val="16"/>
          <w:szCs w:val="16"/>
        </w:rPr>
        <w:t xml:space="preserve">El Patrimonio Técnico (PT) se define como la suma del Patrimonio básico ordinario neto de deducciones (PBO), el Patrimonio Básico Adicional (PBA) y el Patrimonio Adicional (PA). Para el cálculo de cada componente deben tomarse en cuenta las instrucciones del presente </w:t>
      </w:r>
      <w:proofErr w:type="spellStart"/>
      <w:r w:rsidRPr="008270B7">
        <w:rPr>
          <w:sz w:val="16"/>
          <w:szCs w:val="16"/>
        </w:rPr>
        <w:t>subnumeral</w:t>
      </w:r>
      <w:proofErr w:type="spellEnd"/>
      <w:r w:rsidRPr="008270B7">
        <w:rPr>
          <w:sz w:val="16"/>
          <w:szCs w:val="16"/>
        </w:rPr>
        <w:t>.</w:t>
      </w:r>
    </w:p>
    <w:p w14:paraId="36158BBF" w14:textId="77777777" w:rsidR="00577AB4" w:rsidRPr="008270B7" w:rsidRDefault="00577AB4" w:rsidP="008270B7">
      <w:pPr>
        <w:rPr>
          <w:sz w:val="16"/>
          <w:szCs w:val="16"/>
        </w:rPr>
      </w:pPr>
    </w:p>
    <w:p w14:paraId="739EF440" w14:textId="77777777" w:rsidR="00577AB4" w:rsidRPr="008270B7" w:rsidRDefault="00577AB4" w:rsidP="008270B7">
      <w:pPr>
        <w:rPr>
          <w:sz w:val="16"/>
          <w:szCs w:val="16"/>
        </w:rPr>
      </w:pPr>
      <w:r w:rsidRPr="008270B7">
        <w:rPr>
          <w:sz w:val="16"/>
          <w:szCs w:val="16"/>
        </w:rPr>
        <w:t xml:space="preserve">2.1.1.1. Clasificación de las acciones e instrumentos de deuda subordinada </w:t>
      </w:r>
    </w:p>
    <w:p w14:paraId="340D4199" w14:textId="77777777" w:rsidR="00577AB4" w:rsidRPr="008270B7" w:rsidRDefault="00577AB4" w:rsidP="008270B7">
      <w:pPr>
        <w:rPr>
          <w:sz w:val="16"/>
          <w:szCs w:val="16"/>
        </w:rPr>
      </w:pPr>
    </w:p>
    <w:p w14:paraId="7B9A5848" w14:textId="77777777" w:rsidR="00577AB4" w:rsidRPr="008270B7" w:rsidRDefault="00577AB4" w:rsidP="008270B7">
      <w:pPr>
        <w:jc w:val="both"/>
        <w:rPr>
          <w:sz w:val="16"/>
          <w:szCs w:val="16"/>
        </w:rPr>
      </w:pPr>
      <w:r w:rsidRPr="008270B7">
        <w:rPr>
          <w:sz w:val="16"/>
          <w:szCs w:val="16"/>
        </w:rPr>
        <w:t xml:space="preserve">En virtud del parágrafo 1 del artículo 2.31.1.2.1 del Decreto 2555 de 2010, la SFC definirá la pertenencia al PBO, PBA y PA, de las acciones y los instrumentos de deuda, según corresponda. Para el efecto, el emisor debe solicitar la clasificación de los instrumentos del patrimonio técnico de acuerdo con las instrucciones señaladas en el Anexo 14 del presente Capítulo. </w:t>
      </w:r>
      <w:r w:rsidRPr="008270B7">
        <w:rPr>
          <w:sz w:val="16"/>
          <w:szCs w:val="16"/>
          <w:lang w:val="es-ES_tradnl"/>
        </w:rPr>
        <w:t>Aquellos títulos que ya fueron clasificados en alguna categoría no deben ser presentados de nuevo a esta Superintendencia.</w:t>
      </w:r>
    </w:p>
    <w:p w14:paraId="6B39A9DB" w14:textId="77777777" w:rsidR="00577AB4" w:rsidRPr="008270B7" w:rsidRDefault="00577AB4" w:rsidP="008270B7">
      <w:pPr>
        <w:jc w:val="both"/>
        <w:rPr>
          <w:sz w:val="16"/>
          <w:szCs w:val="16"/>
        </w:rPr>
      </w:pPr>
    </w:p>
    <w:p w14:paraId="1E361F63" w14:textId="77777777" w:rsidR="00577AB4" w:rsidRPr="008270B7" w:rsidRDefault="00577AB4" w:rsidP="008270B7">
      <w:pPr>
        <w:jc w:val="both"/>
        <w:rPr>
          <w:sz w:val="16"/>
          <w:szCs w:val="16"/>
        </w:rPr>
      </w:pPr>
      <w:r w:rsidRPr="008270B7">
        <w:rPr>
          <w:sz w:val="16"/>
          <w:szCs w:val="16"/>
        </w:rPr>
        <w:t>Los instrumentos que la SFC no clasifique en el capital regulatorio no podrán hacer parte del PT de la entidad aseguradora.</w:t>
      </w:r>
    </w:p>
    <w:p w14:paraId="1D5ED0F0" w14:textId="77777777" w:rsidR="00577AB4" w:rsidRPr="008270B7" w:rsidRDefault="00577AB4" w:rsidP="008270B7">
      <w:pPr>
        <w:jc w:val="both"/>
        <w:rPr>
          <w:sz w:val="16"/>
          <w:szCs w:val="16"/>
        </w:rPr>
      </w:pPr>
    </w:p>
    <w:p w14:paraId="598254F6" w14:textId="77777777" w:rsidR="00577AB4" w:rsidRPr="008270B7" w:rsidRDefault="00577AB4" w:rsidP="008270B7">
      <w:pPr>
        <w:jc w:val="both"/>
        <w:rPr>
          <w:sz w:val="16"/>
          <w:szCs w:val="16"/>
        </w:rPr>
      </w:pPr>
      <w:r w:rsidRPr="008270B7">
        <w:rPr>
          <w:sz w:val="16"/>
          <w:szCs w:val="16"/>
        </w:rPr>
        <w:t>Para el cumplimiento de los criterios y características que deben tener los instrumentos señalados en los artículos 2.31.1.2.2 a 2.31.1.2.4 del Decreto 2555 de 2010 para ser aprobados como capital regulatorio por parte de la SFC, debe tomarse en consideración que el criterio de pertenencia incluido como “No financiado por la entidad” en el artículo 2.31.1.2.1 del Decreto 2555 de 2010, se refiere como “vinculada” a cualquier participante que sea: a) el o los accionistas o beneficiarios reales del 5% o más de la participación accionaria en la entidad; b) las personas jurídicas en las cuales la entidad sea beneficiario real del 5% o más de la participación accionaria; o c) la matriz de la entidad y sus subordinadas.</w:t>
      </w:r>
    </w:p>
    <w:p w14:paraId="78025008" w14:textId="77777777" w:rsidR="00577AB4" w:rsidRPr="008270B7" w:rsidRDefault="00577AB4" w:rsidP="008270B7">
      <w:pPr>
        <w:jc w:val="both"/>
        <w:rPr>
          <w:sz w:val="16"/>
          <w:szCs w:val="16"/>
        </w:rPr>
      </w:pPr>
    </w:p>
    <w:p w14:paraId="0BC54DFA" w14:textId="77777777" w:rsidR="00577AB4" w:rsidRPr="008270B7" w:rsidRDefault="00577AB4" w:rsidP="008270B7">
      <w:pPr>
        <w:jc w:val="both"/>
        <w:rPr>
          <w:sz w:val="16"/>
          <w:szCs w:val="16"/>
          <w:lang w:val="es-ES_tradnl"/>
        </w:rPr>
      </w:pPr>
      <w:r w:rsidRPr="008270B7">
        <w:rPr>
          <w:sz w:val="16"/>
          <w:szCs w:val="16"/>
          <w:lang w:val="es-ES_tradnl"/>
        </w:rPr>
        <w:t>Se entiende por beneficiario real para efectos de esta clasificación cualquier persona o grupo de personas que, directa o indirectamente, por sí misma o a través de interpuesta persona, por virtud de contrato, convenio o de cualquier otra manera, tenga respecto de una acción o de cualquier participación en una sociedad, la facultad o el poder de votar en la elección de directivas o representantes, o de dirigir, orientar y controlar dicho voto, así como la facultad o el poder de enajenar y ordenar la enajenación o gravamen de la acción o de la participación.</w:t>
      </w:r>
    </w:p>
    <w:p w14:paraId="2B4D2818" w14:textId="77777777" w:rsidR="00577AB4" w:rsidRPr="008270B7" w:rsidRDefault="00577AB4" w:rsidP="008270B7">
      <w:pPr>
        <w:jc w:val="both"/>
        <w:rPr>
          <w:sz w:val="16"/>
          <w:szCs w:val="16"/>
          <w:lang w:val="es-ES_tradnl"/>
        </w:rPr>
      </w:pPr>
    </w:p>
    <w:p w14:paraId="4A07E401" w14:textId="77777777" w:rsidR="00577AB4" w:rsidRPr="008270B7" w:rsidRDefault="00577AB4" w:rsidP="008270B7">
      <w:pPr>
        <w:jc w:val="both"/>
        <w:rPr>
          <w:sz w:val="16"/>
          <w:szCs w:val="16"/>
          <w:lang w:val="es-ES_tradnl"/>
        </w:rPr>
      </w:pPr>
      <w:r w:rsidRPr="008270B7">
        <w:rPr>
          <w:sz w:val="16"/>
          <w:szCs w:val="16"/>
          <w:lang w:val="es-ES_tradnl"/>
        </w:rPr>
        <w:t>Conforman un mismo beneficiario real para efectos de esta clasificación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SFC con fines exclusivamente probatorios.</w:t>
      </w:r>
    </w:p>
    <w:p w14:paraId="2BC2D88D" w14:textId="77777777" w:rsidR="00577AB4" w:rsidRPr="008270B7" w:rsidRDefault="00577AB4" w:rsidP="008270B7">
      <w:pPr>
        <w:jc w:val="both"/>
        <w:rPr>
          <w:sz w:val="16"/>
          <w:szCs w:val="16"/>
          <w:lang w:val="es-ES_tradnl"/>
        </w:rPr>
      </w:pPr>
    </w:p>
    <w:p w14:paraId="6CFA590F" w14:textId="77777777" w:rsidR="00577AB4" w:rsidRPr="008270B7" w:rsidRDefault="00577AB4" w:rsidP="008270B7">
      <w:pPr>
        <w:jc w:val="both"/>
        <w:rPr>
          <w:sz w:val="16"/>
          <w:szCs w:val="16"/>
        </w:rPr>
      </w:pPr>
      <w:r w:rsidRPr="008270B7">
        <w:rPr>
          <w:sz w:val="16"/>
          <w:szCs w:val="16"/>
          <w:lang w:val="es-ES_tradnl"/>
        </w:rPr>
        <w:t>Para efectos de esta clasificación, una persona o grupo de personas se considera beneficiario real de una acción o participación si tiene derecho para hacerse a su propiedad con ocasión del ejercicio de un derecho proveniente de una garantía o de un pacto de recompra o de un negocio fiduciario o cualquier otro pacto que produzca efectos similares, salvo que los mismos no confieran derechos políticos.</w:t>
      </w:r>
    </w:p>
    <w:p w14:paraId="5B378B5C" w14:textId="77777777" w:rsidR="00577AB4" w:rsidRPr="008270B7" w:rsidRDefault="00577AB4" w:rsidP="008270B7">
      <w:pPr>
        <w:jc w:val="both"/>
        <w:rPr>
          <w:sz w:val="16"/>
          <w:szCs w:val="16"/>
        </w:rPr>
      </w:pPr>
    </w:p>
    <w:p w14:paraId="7CEA2C73" w14:textId="77777777" w:rsidR="00577AB4" w:rsidRPr="008270B7" w:rsidRDefault="00577AB4" w:rsidP="008270B7">
      <w:pPr>
        <w:pStyle w:val="Prrafodelista"/>
        <w:numPr>
          <w:ilvl w:val="3"/>
          <w:numId w:val="4"/>
        </w:numPr>
        <w:jc w:val="both"/>
        <w:rPr>
          <w:rFonts w:cs="Arial"/>
          <w:sz w:val="16"/>
          <w:szCs w:val="16"/>
        </w:rPr>
      </w:pPr>
      <w:r w:rsidRPr="008270B7">
        <w:rPr>
          <w:rFonts w:cs="Arial"/>
          <w:sz w:val="16"/>
          <w:szCs w:val="16"/>
        </w:rPr>
        <w:t>Definiciones relevantes para el cálculo del PBO</w:t>
      </w:r>
    </w:p>
    <w:p w14:paraId="3EB8246C" w14:textId="77777777" w:rsidR="00577AB4" w:rsidRPr="008270B7" w:rsidRDefault="00577AB4" w:rsidP="008270B7">
      <w:pPr>
        <w:jc w:val="both"/>
        <w:rPr>
          <w:rFonts w:cs="Arial"/>
          <w:sz w:val="16"/>
          <w:szCs w:val="16"/>
        </w:rPr>
      </w:pPr>
    </w:p>
    <w:p w14:paraId="395A2BC3" w14:textId="77777777" w:rsidR="00577AB4" w:rsidRPr="008270B7" w:rsidRDefault="00577AB4" w:rsidP="008270B7">
      <w:pPr>
        <w:jc w:val="both"/>
        <w:rPr>
          <w:rFonts w:cs="Arial"/>
          <w:sz w:val="16"/>
          <w:szCs w:val="16"/>
        </w:rPr>
      </w:pPr>
      <w:r w:rsidRPr="008270B7">
        <w:rPr>
          <w:rFonts w:cs="Arial"/>
          <w:sz w:val="16"/>
          <w:szCs w:val="16"/>
        </w:rPr>
        <w:t>Para efectos de la determinación del PBO, se entiende por inversión indirecta aquella inversión realizada por una entidad vigilada por la SFC (en adelante entidad principal) en una tercera entidad vigilada por la SFC o entidad financiera del exterior por medio de otra(s) entidad(es) o vehículo(s) (en adelante intermediario).</w:t>
      </w:r>
    </w:p>
    <w:p w14:paraId="534D9A3A" w14:textId="77777777" w:rsidR="00577AB4" w:rsidRPr="008270B7" w:rsidRDefault="00577AB4" w:rsidP="008270B7">
      <w:pPr>
        <w:jc w:val="both"/>
        <w:rPr>
          <w:rFonts w:cs="Arial"/>
          <w:sz w:val="16"/>
          <w:szCs w:val="16"/>
        </w:rPr>
      </w:pPr>
    </w:p>
    <w:p w14:paraId="63227A5C" w14:textId="77777777" w:rsidR="00577AB4" w:rsidRPr="008270B7" w:rsidRDefault="00577AB4" w:rsidP="008270B7">
      <w:pPr>
        <w:jc w:val="both"/>
        <w:rPr>
          <w:rFonts w:cs="Arial"/>
          <w:sz w:val="16"/>
          <w:szCs w:val="16"/>
        </w:rPr>
      </w:pPr>
      <w:r w:rsidRPr="008270B7">
        <w:rPr>
          <w:rFonts w:cs="Arial"/>
          <w:sz w:val="16"/>
          <w:szCs w:val="16"/>
        </w:rPr>
        <w:t>A continuación, se señala de manera ilustrativa y enunciativa, algunos ejemplos para determinar la inversión indirecta: a) Cuando el(los) intermediario(s) es(son) subordinado(s), controlado(s) o está(n) bajo administración de la entidad principal, la participación de ésta última en la tercera entidad corresponde a la participación del(los) intermediario(s) en dicha entidad; b) cuando el(los) intermediario(s) no es(son) subordinado(s), controlado(s) o no está(n) bajo administración de la entidad principal, la participación de ésta última en la tercera entidad corresponde al producto de las participaciones, es decir, la que tiene la entidad principal en el intermediario multiplicado por la participación de ésta en la tercera entidad; y c) cuando se realiza mediante la participación de varios intermediarios que son subordinados, controlados o están bajo administración de la entidad principal y aquellos que no son subordinados o controlados, la participación resulta de aplicar de forma conjunta a) y b).</w:t>
      </w:r>
    </w:p>
    <w:p w14:paraId="3CBD0CB7" w14:textId="77777777" w:rsidR="00577AB4" w:rsidRPr="008270B7" w:rsidRDefault="00577AB4" w:rsidP="008270B7">
      <w:pPr>
        <w:rPr>
          <w:rFonts w:cs="Arial"/>
          <w:sz w:val="16"/>
          <w:szCs w:val="16"/>
        </w:rPr>
      </w:pPr>
    </w:p>
    <w:p w14:paraId="3B9D9489" w14:textId="77777777" w:rsidR="00577AB4" w:rsidRPr="008270B7" w:rsidRDefault="00577AB4" w:rsidP="008270B7">
      <w:pPr>
        <w:pStyle w:val="Prrafodelista"/>
        <w:numPr>
          <w:ilvl w:val="2"/>
          <w:numId w:val="4"/>
        </w:numPr>
        <w:jc w:val="both"/>
        <w:rPr>
          <w:rFonts w:cs="Arial"/>
          <w:color w:val="000000"/>
          <w:sz w:val="16"/>
          <w:szCs w:val="16"/>
        </w:rPr>
      </w:pPr>
      <w:r w:rsidRPr="008270B7">
        <w:rPr>
          <w:rFonts w:cs="Arial"/>
          <w:color w:val="000000"/>
          <w:sz w:val="16"/>
          <w:szCs w:val="16"/>
        </w:rPr>
        <w:t>Patrimonio adecuado</w:t>
      </w:r>
    </w:p>
    <w:p w14:paraId="27580D42" w14:textId="77777777" w:rsidR="00577AB4" w:rsidRPr="008270B7" w:rsidRDefault="00577AB4" w:rsidP="008270B7">
      <w:pPr>
        <w:jc w:val="both"/>
        <w:rPr>
          <w:rFonts w:cs="Arial"/>
          <w:color w:val="000000"/>
          <w:sz w:val="16"/>
          <w:szCs w:val="16"/>
        </w:rPr>
      </w:pPr>
    </w:p>
    <w:p w14:paraId="78016D5F" w14:textId="77777777" w:rsidR="00577AB4" w:rsidRPr="008270B7" w:rsidRDefault="00577AB4" w:rsidP="008270B7">
      <w:pPr>
        <w:jc w:val="both"/>
        <w:rPr>
          <w:rFonts w:cs="Arial"/>
          <w:color w:val="000000"/>
          <w:sz w:val="16"/>
          <w:szCs w:val="16"/>
        </w:rPr>
      </w:pPr>
      <w:r w:rsidRPr="008270B7">
        <w:rPr>
          <w:rFonts w:cs="Arial"/>
          <w:color w:val="000000"/>
          <w:sz w:val="16"/>
          <w:szCs w:val="16"/>
        </w:rPr>
        <w:t xml:space="preserve">Las entidades aseguradoras deben mantener permanentemente y acreditar ante la SFC un patrimonio técnico equivalente como mínimo al nivel de patrimonio adecuado, atendiendo a las disposiciones del Capítulo 2 del Título 1 del Libro 31 de la Parte 2 del Decreto 2555 de 2010 y las instrucciones del presente </w:t>
      </w:r>
      <w:proofErr w:type="spellStart"/>
      <w:r w:rsidRPr="008270B7">
        <w:rPr>
          <w:rFonts w:cs="Arial"/>
          <w:color w:val="000000"/>
          <w:sz w:val="16"/>
          <w:szCs w:val="16"/>
        </w:rPr>
        <w:t>subnumeral</w:t>
      </w:r>
      <w:proofErr w:type="spellEnd"/>
      <w:r w:rsidRPr="008270B7">
        <w:rPr>
          <w:rFonts w:cs="Arial"/>
          <w:color w:val="000000"/>
          <w:sz w:val="16"/>
          <w:szCs w:val="16"/>
        </w:rPr>
        <w:t>.</w:t>
      </w:r>
    </w:p>
    <w:p w14:paraId="69CDD1E4" w14:textId="77777777" w:rsidR="00577AB4" w:rsidRPr="008270B7" w:rsidRDefault="00577AB4" w:rsidP="008270B7">
      <w:pPr>
        <w:jc w:val="both"/>
        <w:rPr>
          <w:rFonts w:cs="Arial"/>
          <w:color w:val="000000"/>
          <w:sz w:val="16"/>
          <w:szCs w:val="16"/>
        </w:rPr>
      </w:pPr>
    </w:p>
    <w:p w14:paraId="17FA05C0" w14:textId="77777777" w:rsidR="00577AB4" w:rsidRPr="008270B7" w:rsidRDefault="00577AB4" w:rsidP="008270B7">
      <w:pPr>
        <w:pStyle w:val="Prrafodelista"/>
        <w:numPr>
          <w:ilvl w:val="3"/>
          <w:numId w:val="5"/>
        </w:numPr>
        <w:jc w:val="both"/>
        <w:rPr>
          <w:rFonts w:cs="Arial"/>
          <w:sz w:val="16"/>
          <w:szCs w:val="16"/>
        </w:rPr>
      </w:pPr>
      <w:r w:rsidRPr="008270B7">
        <w:rPr>
          <w:rFonts w:cs="Arial"/>
          <w:sz w:val="16"/>
          <w:szCs w:val="16"/>
        </w:rPr>
        <w:t>Riesgo de suscripción</w:t>
      </w:r>
    </w:p>
    <w:p w14:paraId="6DBB5C22" w14:textId="77777777" w:rsidR="00577AB4" w:rsidRPr="008270B7" w:rsidRDefault="00577AB4" w:rsidP="008270B7">
      <w:pPr>
        <w:jc w:val="both"/>
        <w:rPr>
          <w:rFonts w:cs="Arial"/>
          <w:sz w:val="16"/>
          <w:szCs w:val="16"/>
        </w:rPr>
      </w:pPr>
    </w:p>
    <w:p w14:paraId="47CA65D5" w14:textId="77777777" w:rsidR="00577AB4" w:rsidRPr="008270B7" w:rsidRDefault="00577AB4" w:rsidP="008270B7">
      <w:pPr>
        <w:jc w:val="both"/>
        <w:rPr>
          <w:rFonts w:cs="Arial"/>
          <w:sz w:val="16"/>
          <w:szCs w:val="16"/>
        </w:rPr>
      </w:pPr>
      <w:r w:rsidRPr="008270B7">
        <w:rPr>
          <w:rFonts w:cs="Arial"/>
          <w:sz w:val="16"/>
          <w:szCs w:val="16"/>
        </w:rPr>
        <w:t>Las entidades aseguradoras deben determinar el valor de la exposición a riesgo de suscripción de acuerdo con las instrucciones de los artículos 2.31.1.2.6 a 2.31.1.2.8 del Decreto 2555 de 2010.</w:t>
      </w:r>
    </w:p>
    <w:p w14:paraId="3AB1825B" w14:textId="77777777" w:rsidR="00577AB4" w:rsidRPr="008270B7" w:rsidRDefault="00577AB4" w:rsidP="008270B7">
      <w:pPr>
        <w:jc w:val="both"/>
        <w:rPr>
          <w:rFonts w:cs="Arial"/>
          <w:sz w:val="16"/>
          <w:szCs w:val="16"/>
        </w:rPr>
      </w:pPr>
    </w:p>
    <w:p w14:paraId="46E2BF11" w14:textId="77777777" w:rsidR="00577AB4" w:rsidRPr="008270B7" w:rsidRDefault="00577AB4" w:rsidP="008270B7">
      <w:pPr>
        <w:jc w:val="both"/>
        <w:rPr>
          <w:rFonts w:cs="Arial"/>
          <w:sz w:val="16"/>
          <w:szCs w:val="16"/>
        </w:rPr>
      </w:pPr>
      <w:r w:rsidRPr="008270B7">
        <w:rPr>
          <w:rFonts w:cs="Arial"/>
          <w:sz w:val="16"/>
          <w:szCs w:val="16"/>
        </w:rPr>
        <w:t>2.1.2.1.1. Riesgo de suscripción en las entidades de seguros generales</w:t>
      </w:r>
    </w:p>
    <w:p w14:paraId="03C8B922" w14:textId="77777777" w:rsidR="00577AB4" w:rsidRPr="008270B7" w:rsidRDefault="00577AB4" w:rsidP="008270B7">
      <w:pPr>
        <w:jc w:val="both"/>
        <w:rPr>
          <w:rFonts w:cs="Arial"/>
          <w:sz w:val="16"/>
          <w:szCs w:val="16"/>
        </w:rPr>
      </w:pPr>
    </w:p>
    <w:p w14:paraId="46730B8B" w14:textId="77777777" w:rsidR="00577AB4" w:rsidRPr="008270B7" w:rsidRDefault="00577AB4" w:rsidP="008270B7">
      <w:pPr>
        <w:jc w:val="both"/>
        <w:rPr>
          <w:rFonts w:cs="Arial"/>
          <w:sz w:val="16"/>
          <w:szCs w:val="16"/>
        </w:rPr>
      </w:pPr>
      <w:r w:rsidRPr="008270B7">
        <w:rPr>
          <w:rFonts w:cs="Arial"/>
          <w:sz w:val="16"/>
          <w:szCs w:val="16"/>
        </w:rPr>
        <w:t>Para dar cumplimiento a las instrucciones del parágrafo del artículo 2.31.1.2.6 del Decreto 2555 de 2010, respecto de la identificación de los siniestros extremos, las entidades aseguradoras señalarán como siniestro extremo (con excepción de aquellos registrados para el ramo de terremoto) aquel cuyo monto reservado bruto de reaseguro y/o pagado sin considerar reembolsos de reaseguro ascienda como mínimo a 399 millones de Unidades de Valor Real (UVR) vigentes al 31 de diciembre del año inmediatamente anterior. Así mismo, se identificará como siniestro extremo aquellos siniestros que ocurridos en un mismo evento acumulen un valor reservado bruto de reaseguro y/o pagado sin considerar reembolsos de reaseguro, superior al monto anteriormente señalado.</w:t>
      </w:r>
    </w:p>
    <w:p w14:paraId="468EA432" w14:textId="77777777" w:rsidR="00577AB4" w:rsidRPr="008270B7" w:rsidRDefault="00577AB4" w:rsidP="008270B7">
      <w:pPr>
        <w:jc w:val="both"/>
        <w:rPr>
          <w:rFonts w:cs="Arial"/>
          <w:sz w:val="16"/>
          <w:szCs w:val="16"/>
        </w:rPr>
        <w:sectPr w:rsidR="00577AB4" w:rsidRPr="008270B7" w:rsidSect="00BB0A30">
          <w:headerReference w:type="even" r:id="rId48"/>
          <w:headerReference w:type="default" r:id="rId49"/>
          <w:footerReference w:type="even" r:id="rId50"/>
          <w:footerReference w:type="default" r:id="rId51"/>
          <w:headerReference w:type="first" r:id="rId52"/>
          <w:footerReference w:type="first" r:id="rId53"/>
          <w:pgSz w:w="12240" w:h="18720" w:code="257"/>
          <w:pgMar w:top="1417" w:right="1701" w:bottom="1417" w:left="1701" w:header="709" w:footer="865" w:gutter="0"/>
          <w:cols w:space="708"/>
          <w:titlePg/>
          <w:docGrid w:linePitch="360"/>
        </w:sectPr>
      </w:pPr>
    </w:p>
    <w:p w14:paraId="693DDDB1" w14:textId="77777777" w:rsidR="00577AB4" w:rsidRPr="008270B7" w:rsidRDefault="00577AB4" w:rsidP="008270B7">
      <w:pPr>
        <w:jc w:val="both"/>
        <w:rPr>
          <w:rFonts w:cs="Arial"/>
          <w:sz w:val="16"/>
          <w:szCs w:val="16"/>
        </w:rPr>
      </w:pPr>
      <w:r w:rsidRPr="008270B7">
        <w:rPr>
          <w:rFonts w:cs="Arial"/>
          <w:sz w:val="16"/>
          <w:szCs w:val="16"/>
        </w:rPr>
        <w:lastRenderedPageBreak/>
        <w:t xml:space="preserve">Este monto será revisado por la SFC y podrá ser modificado si ésta considera que no refleja las condiciones de siniestralidad del mercado de seguros. </w:t>
      </w:r>
    </w:p>
    <w:p w14:paraId="056EACBE" w14:textId="77777777" w:rsidR="00577AB4" w:rsidRPr="008270B7" w:rsidRDefault="00577AB4" w:rsidP="008270B7">
      <w:pPr>
        <w:jc w:val="both"/>
        <w:rPr>
          <w:rFonts w:cs="Arial"/>
          <w:sz w:val="16"/>
          <w:szCs w:val="16"/>
        </w:rPr>
      </w:pPr>
    </w:p>
    <w:p w14:paraId="01E5958C" w14:textId="77777777" w:rsidR="00577AB4" w:rsidRPr="008270B7" w:rsidRDefault="00577AB4" w:rsidP="008270B7">
      <w:pPr>
        <w:jc w:val="both"/>
        <w:rPr>
          <w:rFonts w:cs="Arial"/>
          <w:sz w:val="16"/>
          <w:szCs w:val="16"/>
        </w:rPr>
      </w:pPr>
      <w:r w:rsidRPr="008270B7">
        <w:rPr>
          <w:rFonts w:cs="Arial"/>
          <w:sz w:val="16"/>
          <w:szCs w:val="16"/>
        </w:rPr>
        <w:t xml:space="preserve">En el caso del ramo de terremoto, se identificará como siniestro extremo aquellos siniestros que ocurridos en un mismo evento acumulen un valor reservado bruto de reaseguro y/o pagado sin considerar reembolsos de reaseguro, superior al monto de la PMP (Pérdida Máxima Probable) de la cartera total en los términos del artículo 2.31.5.1.1 del Decreto 2555 de 2010. </w:t>
      </w:r>
    </w:p>
    <w:p w14:paraId="5FA6C8E4" w14:textId="77777777" w:rsidR="00577AB4" w:rsidRPr="008270B7" w:rsidRDefault="00577AB4" w:rsidP="008270B7">
      <w:pPr>
        <w:jc w:val="both"/>
        <w:rPr>
          <w:rFonts w:cs="Arial"/>
          <w:color w:val="000000"/>
          <w:sz w:val="16"/>
          <w:szCs w:val="16"/>
        </w:rPr>
      </w:pPr>
    </w:p>
    <w:p w14:paraId="1C75B30A" w14:textId="77777777" w:rsidR="00577AB4" w:rsidRPr="008270B7" w:rsidRDefault="00577AB4" w:rsidP="008270B7">
      <w:pPr>
        <w:pStyle w:val="Prrafodelista"/>
        <w:numPr>
          <w:ilvl w:val="3"/>
          <w:numId w:val="4"/>
        </w:numPr>
        <w:rPr>
          <w:sz w:val="16"/>
          <w:szCs w:val="16"/>
        </w:rPr>
      </w:pPr>
      <w:r w:rsidRPr="008270B7">
        <w:rPr>
          <w:sz w:val="16"/>
          <w:szCs w:val="16"/>
        </w:rPr>
        <w:t>Riesgo de activo</w:t>
      </w:r>
    </w:p>
    <w:p w14:paraId="6A6259CD" w14:textId="77777777" w:rsidR="00577AB4" w:rsidRPr="008270B7" w:rsidRDefault="00577AB4" w:rsidP="008270B7">
      <w:pPr>
        <w:jc w:val="both"/>
        <w:rPr>
          <w:rFonts w:cs="Arial"/>
          <w:sz w:val="16"/>
          <w:szCs w:val="16"/>
        </w:rPr>
      </w:pPr>
    </w:p>
    <w:p w14:paraId="5A1BFF23" w14:textId="77777777" w:rsidR="00577AB4" w:rsidRPr="008270B7" w:rsidRDefault="00577AB4" w:rsidP="008270B7">
      <w:pPr>
        <w:jc w:val="both"/>
        <w:rPr>
          <w:rFonts w:cs="Arial"/>
          <w:color w:val="000000"/>
          <w:sz w:val="16"/>
          <w:szCs w:val="16"/>
        </w:rPr>
      </w:pPr>
      <w:r w:rsidRPr="008270B7">
        <w:rPr>
          <w:rFonts w:cs="Arial"/>
          <w:color w:val="000000"/>
          <w:sz w:val="16"/>
          <w:szCs w:val="16"/>
        </w:rPr>
        <w:t>Las entidades aseguradoras deben contar con políticas, procesos, sistemas y controles internos eficaces para garantizar que le asignan a cada contraparte y activo la ponderación adecuada.</w:t>
      </w:r>
    </w:p>
    <w:p w14:paraId="7F17D09B" w14:textId="77777777" w:rsidR="00577AB4" w:rsidRPr="008270B7" w:rsidRDefault="00577AB4" w:rsidP="008270B7">
      <w:pPr>
        <w:jc w:val="both"/>
        <w:rPr>
          <w:rFonts w:cs="Arial"/>
          <w:color w:val="000000"/>
          <w:sz w:val="16"/>
          <w:szCs w:val="16"/>
        </w:rPr>
      </w:pPr>
    </w:p>
    <w:p w14:paraId="4FAAC3EB" w14:textId="77777777" w:rsidR="00577AB4" w:rsidRPr="008270B7" w:rsidRDefault="00577AB4" w:rsidP="008270B7">
      <w:pPr>
        <w:jc w:val="both"/>
        <w:rPr>
          <w:rFonts w:cs="Arial"/>
          <w:color w:val="000000"/>
          <w:sz w:val="16"/>
          <w:szCs w:val="16"/>
        </w:rPr>
      </w:pPr>
      <w:r w:rsidRPr="008270B7">
        <w:rPr>
          <w:rFonts w:cs="Arial"/>
          <w:color w:val="000000"/>
          <w:sz w:val="16"/>
          <w:szCs w:val="16"/>
        </w:rPr>
        <w:t>Para la adecuada clasificación y el cálculo del riesgo de activo de acuerdo con la ponderación de riesgo crediticio en sus respectivas categorías, tanto en moneda nacional como extranjera, las entidades aseguradoras deben tener en cuenta las instrucciones de los formatos de reporte de información que para el efecto se establecen, con base en lo señalado en el Decreto 2555 de 2010, con sus correspondientes instructivos y las que se señalan a continuación:</w:t>
      </w:r>
    </w:p>
    <w:p w14:paraId="652AE0B7" w14:textId="77777777" w:rsidR="00577AB4" w:rsidRPr="008270B7" w:rsidRDefault="00577AB4" w:rsidP="008270B7">
      <w:pPr>
        <w:jc w:val="both"/>
        <w:rPr>
          <w:rFonts w:cs="Arial"/>
          <w:color w:val="000000"/>
          <w:sz w:val="16"/>
          <w:szCs w:val="16"/>
        </w:rPr>
      </w:pPr>
    </w:p>
    <w:p w14:paraId="38FBBE39" w14:textId="77777777" w:rsidR="00577AB4" w:rsidRPr="008270B7" w:rsidRDefault="00577AB4" w:rsidP="008270B7">
      <w:pPr>
        <w:pStyle w:val="Prrafodelista"/>
        <w:numPr>
          <w:ilvl w:val="4"/>
          <w:numId w:val="4"/>
        </w:numPr>
        <w:jc w:val="both"/>
        <w:rPr>
          <w:rFonts w:cs="Arial"/>
          <w:color w:val="000000"/>
          <w:sz w:val="16"/>
          <w:szCs w:val="16"/>
        </w:rPr>
      </w:pPr>
      <w:r w:rsidRPr="008270B7">
        <w:rPr>
          <w:rFonts w:cs="Arial"/>
          <w:color w:val="000000"/>
          <w:sz w:val="16"/>
          <w:szCs w:val="16"/>
        </w:rPr>
        <w:t xml:space="preserve">Ponderación de la exposición crediticia de los instrumentos financieros derivados </w:t>
      </w:r>
    </w:p>
    <w:p w14:paraId="2CBD6035" w14:textId="77777777" w:rsidR="00577AB4" w:rsidRPr="008270B7" w:rsidRDefault="00577AB4" w:rsidP="008270B7">
      <w:pPr>
        <w:jc w:val="both"/>
        <w:rPr>
          <w:rFonts w:cs="Arial"/>
          <w:color w:val="000000"/>
          <w:sz w:val="16"/>
          <w:szCs w:val="16"/>
        </w:rPr>
      </w:pPr>
    </w:p>
    <w:p w14:paraId="7820A060" w14:textId="77777777" w:rsidR="00577AB4" w:rsidRPr="008270B7" w:rsidRDefault="00577AB4" w:rsidP="008270B7">
      <w:pPr>
        <w:jc w:val="both"/>
        <w:rPr>
          <w:rFonts w:cs="Arial"/>
          <w:sz w:val="16"/>
          <w:szCs w:val="16"/>
        </w:rPr>
      </w:pPr>
      <w:r w:rsidRPr="008270B7">
        <w:rPr>
          <w:rFonts w:cs="Arial"/>
          <w:sz w:val="16"/>
          <w:szCs w:val="16"/>
        </w:rPr>
        <w:t>El valor de la exposición crediticia de los instrumentos financieros derivados se debe calcular conforme a lo dispuesto en el Anexo 3 del Capítulo XVIII de la CBCF.</w:t>
      </w:r>
    </w:p>
    <w:p w14:paraId="16B57BE3" w14:textId="77777777" w:rsidR="00577AB4" w:rsidRPr="008270B7" w:rsidRDefault="00577AB4" w:rsidP="008270B7">
      <w:pPr>
        <w:jc w:val="both"/>
        <w:rPr>
          <w:rFonts w:cs="Arial"/>
          <w:sz w:val="16"/>
          <w:szCs w:val="16"/>
        </w:rPr>
      </w:pPr>
    </w:p>
    <w:p w14:paraId="4B5E746D" w14:textId="77777777" w:rsidR="00577AB4" w:rsidRPr="008270B7" w:rsidRDefault="00577AB4" w:rsidP="008270B7">
      <w:pPr>
        <w:jc w:val="both"/>
        <w:rPr>
          <w:rFonts w:cs="Arial"/>
          <w:sz w:val="16"/>
          <w:szCs w:val="16"/>
        </w:rPr>
      </w:pPr>
      <w:r w:rsidRPr="008270B7">
        <w:rPr>
          <w:rFonts w:cs="Arial"/>
          <w:sz w:val="16"/>
          <w:szCs w:val="16"/>
        </w:rPr>
        <w:t>La exposición con instrumentos financieros derivados corresponde a la multiplicación de la Exposición Crediticia (EC) por el factor de ponderación que le corresponda a cada contraparte.</w:t>
      </w:r>
    </w:p>
    <w:p w14:paraId="01A565F3" w14:textId="77777777" w:rsidR="00577AB4" w:rsidRPr="008270B7" w:rsidRDefault="00577AB4" w:rsidP="008270B7">
      <w:pPr>
        <w:jc w:val="both"/>
        <w:rPr>
          <w:rFonts w:cs="Arial"/>
          <w:sz w:val="16"/>
          <w:szCs w:val="16"/>
        </w:rPr>
      </w:pPr>
    </w:p>
    <w:p w14:paraId="4144C16B" w14:textId="77777777" w:rsidR="00577AB4" w:rsidRPr="008270B7" w:rsidRDefault="00577AB4" w:rsidP="008270B7">
      <w:pPr>
        <w:jc w:val="both"/>
        <w:rPr>
          <w:rFonts w:cs="Arial"/>
          <w:sz w:val="16"/>
          <w:szCs w:val="16"/>
        </w:rPr>
      </w:pPr>
      <w:r w:rsidRPr="008270B7">
        <w:rPr>
          <w:rFonts w:cs="Arial"/>
          <w:sz w:val="16"/>
          <w:szCs w:val="16"/>
        </w:rPr>
        <w:t>2.1.2.2.2. Ponderación de la exposición de los productos estructurados</w:t>
      </w:r>
    </w:p>
    <w:p w14:paraId="05BCEACF" w14:textId="77777777" w:rsidR="00577AB4" w:rsidRPr="008270B7" w:rsidRDefault="00577AB4" w:rsidP="008270B7">
      <w:pPr>
        <w:jc w:val="both"/>
        <w:rPr>
          <w:rFonts w:cs="Arial"/>
          <w:sz w:val="16"/>
          <w:szCs w:val="16"/>
        </w:rPr>
      </w:pPr>
    </w:p>
    <w:p w14:paraId="3B88CA56" w14:textId="77777777" w:rsidR="00577AB4" w:rsidRPr="008270B7" w:rsidRDefault="00577AB4" w:rsidP="008270B7">
      <w:pPr>
        <w:jc w:val="both"/>
        <w:rPr>
          <w:rFonts w:cs="Arial"/>
          <w:sz w:val="16"/>
          <w:szCs w:val="16"/>
        </w:rPr>
      </w:pPr>
      <w:r w:rsidRPr="008270B7">
        <w:rPr>
          <w:rFonts w:cs="Arial"/>
          <w:sz w:val="16"/>
          <w:szCs w:val="16"/>
        </w:rPr>
        <w:t>Los productos estructurados ponderan de la siguiente forma:</w:t>
      </w:r>
    </w:p>
    <w:p w14:paraId="09C7157E" w14:textId="77777777" w:rsidR="00577AB4" w:rsidRPr="008270B7" w:rsidRDefault="00577AB4" w:rsidP="008270B7">
      <w:pPr>
        <w:jc w:val="both"/>
        <w:rPr>
          <w:rFonts w:cs="Arial"/>
          <w:sz w:val="16"/>
          <w:szCs w:val="16"/>
        </w:rPr>
      </w:pPr>
    </w:p>
    <w:p w14:paraId="35904ADB" w14:textId="77777777" w:rsidR="00577AB4" w:rsidRPr="008270B7" w:rsidRDefault="00577AB4" w:rsidP="008270B7">
      <w:pPr>
        <w:pStyle w:val="Prrafodelista"/>
        <w:ind w:left="0"/>
        <w:jc w:val="both"/>
        <w:rPr>
          <w:rFonts w:cs="Arial"/>
          <w:sz w:val="16"/>
          <w:szCs w:val="16"/>
        </w:rPr>
      </w:pPr>
      <w:r w:rsidRPr="008270B7">
        <w:rPr>
          <w:rFonts w:cs="Arial"/>
          <w:sz w:val="16"/>
          <w:szCs w:val="16"/>
        </w:rPr>
        <w:t>2.1.2.2.2.1. Cuando se realicen inversiones en productos estructurados cuyos componentes provengan de distintas contrapartes y el vendedor no sea responsable de su pago, dicho producto estructurado debe computar según las instrucciones del parágrafo 2 del artículo 2.31.1.2.9 del Decreto 2555 de 2010, considerando la suma de los siguientes dos factores: 1) La multiplicación del precio justo de intercambio de mercado (valor razonable) del componente no derivado por el porcentaje de ponderación que aplique al respectivo emisor; y 2) la multiplicación del costo de reposición de los componentes derivados por el porcentaje de ponderación que aplique a la respectiva contraparte.</w:t>
      </w:r>
    </w:p>
    <w:p w14:paraId="7B94835B" w14:textId="77777777" w:rsidR="00577AB4" w:rsidRPr="008270B7" w:rsidRDefault="00577AB4" w:rsidP="008270B7">
      <w:pPr>
        <w:jc w:val="both"/>
        <w:rPr>
          <w:rFonts w:cs="Arial"/>
          <w:sz w:val="16"/>
          <w:szCs w:val="16"/>
        </w:rPr>
      </w:pPr>
    </w:p>
    <w:p w14:paraId="0B80250F" w14:textId="77777777" w:rsidR="00577AB4" w:rsidRPr="008270B7" w:rsidRDefault="00577AB4" w:rsidP="008270B7">
      <w:pPr>
        <w:tabs>
          <w:tab w:val="left" w:pos="900"/>
        </w:tabs>
        <w:jc w:val="both"/>
        <w:rPr>
          <w:rFonts w:cs="Arial"/>
          <w:sz w:val="16"/>
          <w:szCs w:val="16"/>
        </w:rPr>
      </w:pPr>
      <w:r w:rsidRPr="008270B7">
        <w:rPr>
          <w:rFonts w:cs="Arial"/>
          <w:sz w:val="16"/>
          <w:szCs w:val="16"/>
        </w:rPr>
        <w:t>2.1.2.2.2.2. Los demás productos estructurados deben ponderar de conformidad con las instrucciones del numeral 6 del artículo 2.35.1.1.1 del Decreto 2555 de 2010.</w:t>
      </w:r>
    </w:p>
    <w:p w14:paraId="4E1A729C" w14:textId="77777777" w:rsidR="00577AB4" w:rsidRPr="008270B7" w:rsidRDefault="00577AB4" w:rsidP="008270B7">
      <w:pPr>
        <w:jc w:val="both"/>
        <w:rPr>
          <w:rFonts w:cs="Arial"/>
          <w:sz w:val="16"/>
          <w:szCs w:val="16"/>
          <w:highlight w:val="yellow"/>
        </w:rPr>
      </w:pPr>
    </w:p>
    <w:p w14:paraId="67ABB36B" w14:textId="77777777" w:rsidR="00577AB4" w:rsidRPr="008270B7" w:rsidRDefault="00577AB4" w:rsidP="008270B7">
      <w:pPr>
        <w:pStyle w:val="Prrafodelista"/>
        <w:numPr>
          <w:ilvl w:val="4"/>
          <w:numId w:val="8"/>
        </w:numPr>
        <w:jc w:val="both"/>
        <w:rPr>
          <w:rFonts w:cs="Arial"/>
          <w:sz w:val="16"/>
          <w:szCs w:val="16"/>
        </w:rPr>
      </w:pPr>
      <w:r w:rsidRPr="008270B7">
        <w:rPr>
          <w:rFonts w:cs="Arial"/>
          <w:sz w:val="16"/>
          <w:szCs w:val="16"/>
        </w:rPr>
        <w:t>Ponderación de la exposición de las operaciones del mercado monetario</w:t>
      </w:r>
    </w:p>
    <w:p w14:paraId="410F0D87" w14:textId="77777777" w:rsidR="00577AB4" w:rsidRPr="008270B7" w:rsidRDefault="00577AB4" w:rsidP="008270B7">
      <w:pPr>
        <w:jc w:val="both"/>
        <w:rPr>
          <w:rFonts w:cs="Arial"/>
          <w:sz w:val="16"/>
          <w:szCs w:val="16"/>
          <w:highlight w:val="yellow"/>
        </w:rPr>
      </w:pPr>
    </w:p>
    <w:p w14:paraId="7986BEF8" w14:textId="77777777" w:rsidR="00577AB4" w:rsidRPr="008270B7" w:rsidRDefault="00577AB4" w:rsidP="008270B7">
      <w:pPr>
        <w:jc w:val="both"/>
        <w:rPr>
          <w:rFonts w:cs="Arial"/>
          <w:sz w:val="16"/>
          <w:szCs w:val="16"/>
        </w:rPr>
      </w:pPr>
      <w:r w:rsidRPr="008270B7">
        <w:rPr>
          <w:rFonts w:cs="Arial"/>
          <w:sz w:val="16"/>
          <w:szCs w:val="16"/>
        </w:rPr>
        <w:t>En las operaciones de reporto o repo, simultáneas y de transferencia temporal de valores, se debe multiplicar la exposición neta de cada operación por el factor de ponderación que corresponda.</w:t>
      </w:r>
    </w:p>
    <w:p w14:paraId="41592282" w14:textId="77777777" w:rsidR="00577AB4" w:rsidRPr="008270B7" w:rsidRDefault="00577AB4" w:rsidP="008270B7">
      <w:pPr>
        <w:jc w:val="both"/>
        <w:rPr>
          <w:rFonts w:cs="Arial"/>
          <w:sz w:val="16"/>
          <w:szCs w:val="16"/>
        </w:rPr>
      </w:pPr>
    </w:p>
    <w:p w14:paraId="138DBD28" w14:textId="77777777" w:rsidR="00577AB4" w:rsidRPr="008270B7" w:rsidRDefault="00577AB4" w:rsidP="008270B7">
      <w:pPr>
        <w:jc w:val="both"/>
        <w:rPr>
          <w:rFonts w:cs="Arial"/>
          <w:sz w:val="16"/>
          <w:szCs w:val="16"/>
        </w:rPr>
      </w:pPr>
      <w:r w:rsidRPr="008270B7">
        <w:rPr>
          <w:rFonts w:cs="Arial"/>
          <w:sz w:val="16"/>
          <w:szCs w:val="16"/>
        </w:rPr>
        <w:t>Exposición Neta (EN): Se entiende como exposición neta en una operación de reporto o repo, simultánea o transferencia temporal de valores el monto que resulte de restar la posición deudora de la posición acreedora que ostenta la entidad en la respectiva operación realizada, siempre que dicho monto sea positivo. Para el cálculo de dichas posiciones debe tenerse en cuenta el precio justo de intercambio (valor razonable) de mercado de los valores cuya propiedad se transfiera en desarrollo de la operación, la suma de dinero que sea entregada en la misma, así como los intereses o rendimientos causados asociados.</w:t>
      </w:r>
    </w:p>
    <w:p w14:paraId="3F9E5889" w14:textId="77777777" w:rsidR="00577AB4" w:rsidRPr="008270B7" w:rsidRDefault="00577AB4" w:rsidP="008270B7">
      <w:pPr>
        <w:jc w:val="both"/>
        <w:rPr>
          <w:rFonts w:cs="Arial"/>
          <w:sz w:val="16"/>
          <w:szCs w:val="16"/>
        </w:rPr>
      </w:pPr>
    </w:p>
    <w:p w14:paraId="38B751AB" w14:textId="77777777" w:rsidR="00577AB4" w:rsidRPr="008270B7" w:rsidRDefault="00577AB4" w:rsidP="008270B7">
      <w:pPr>
        <w:jc w:val="both"/>
        <w:rPr>
          <w:rFonts w:cs="Arial"/>
          <w:sz w:val="16"/>
          <w:szCs w:val="16"/>
        </w:rPr>
      </w:pPr>
      <w:r w:rsidRPr="008270B7">
        <w:rPr>
          <w:rFonts w:cs="Arial"/>
          <w:sz w:val="16"/>
          <w:szCs w:val="16"/>
        </w:rPr>
        <w:t>Incorporación al cálculo del riesgo de activo: Una vez determinada la exposición neta de cada operación, se debe establecer su contribución al riesgo de activo. De esta manera, la contribución de una operación del mercado monetario será igual a:</w:t>
      </w:r>
    </w:p>
    <w:p w14:paraId="6BC4D50D" w14:textId="77777777" w:rsidR="00577AB4" w:rsidRPr="008270B7" w:rsidRDefault="00577AB4" w:rsidP="008270B7">
      <w:pPr>
        <w:jc w:val="both"/>
        <w:rPr>
          <w:rFonts w:cs="Arial"/>
          <w:sz w:val="16"/>
          <w:szCs w:val="16"/>
        </w:rPr>
      </w:pPr>
    </w:p>
    <w:p w14:paraId="792E3BF2" w14:textId="448D2226" w:rsidR="00577AB4" w:rsidRPr="008270B7" w:rsidRDefault="00000000" w:rsidP="008270B7">
      <w:pPr>
        <w:jc w:val="both"/>
        <w:rPr>
          <w:rFonts w:cs="Arial"/>
          <w:sz w:val="16"/>
          <w:szCs w:val="16"/>
        </w:rPr>
      </w:pPr>
      <m:oMathPara>
        <m:oMath>
          <m:sSub>
            <m:sSubPr>
              <m:ctrlPr>
                <w:rPr>
                  <w:rFonts w:ascii="Cambria Math" w:eastAsiaTheme="minorHAnsi" w:hAnsi="Cambria Math" w:cs="Arial"/>
                  <w:i/>
                  <w:iCs/>
                  <w:sz w:val="16"/>
                  <w:szCs w:val="16"/>
                </w:rPr>
              </m:ctrlPr>
            </m:sSubPr>
            <m:e>
              <m:r>
                <w:rPr>
                  <w:rFonts w:ascii="Cambria Math" w:hAnsi="Cambria Math" w:cs="Arial"/>
                  <w:sz w:val="16"/>
                  <w:szCs w:val="16"/>
                </w:rPr>
                <m:t>APNR</m:t>
              </m:r>
            </m:e>
            <m:sub>
              <m:r>
                <w:rPr>
                  <w:rFonts w:ascii="Cambria Math" w:hAnsi="Cambria Math" w:cs="Arial"/>
                  <w:sz w:val="16"/>
                  <w:szCs w:val="16"/>
                </w:rPr>
                <m:t>j</m:t>
              </m:r>
            </m:sub>
          </m:sSub>
          <m:r>
            <w:rPr>
              <w:rFonts w:ascii="Cambria Math" w:hAnsi="Cambria Math" w:cs="Arial"/>
              <w:sz w:val="16"/>
              <w:szCs w:val="16"/>
            </w:rPr>
            <m:t>=</m:t>
          </m:r>
          <m:sSub>
            <m:sSubPr>
              <m:ctrlPr>
                <w:rPr>
                  <w:rFonts w:ascii="Cambria Math" w:eastAsiaTheme="minorHAnsi" w:hAnsi="Cambria Math" w:cs="Arial"/>
                  <w:i/>
                  <w:iCs/>
                  <w:sz w:val="16"/>
                  <w:szCs w:val="16"/>
                </w:rPr>
              </m:ctrlPr>
            </m:sSubPr>
            <m:e>
              <m:r>
                <w:rPr>
                  <w:rFonts w:ascii="Cambria Math" w:hAnsi="Cambria Math" w:cs="Arial"/>
                  <w:sz w:val="16"/>
                  <w:szCs w:val="16"/>
                </w:rPr>
                <m:t>W</m:t>
              </m:r>
            </m:e>
            <m:sub>
              <m:r>
                <w:rPr>
                  <w:rFonts w:ascii="Cambria Math" w:hAnsi="Cambria Math" w:cs="Arial"/>
                  <w:sz w:val="16"/>
                  <w:szCs w:val="16"/>
                </w:rPr>
                <m:t>j</m:t>
              </m:r>
            </m:sub>
          </m:sSub>
          <m:r>
            <w:rPr>
              <w:rFonts w:ascii="Cambria Math" w:hAnsi="Cambria Math" w:cs="Arial"/>
              <w:sz w:val="16"/>
              <w:szCs w:val="16"/>
            </w:rPr>
            <m:t>*</m:t>
          </m:r>
          <m:sSub>
            <m:sSubPr>
              <m:ctrlPr>
                <w:rPr>
                  <w:rFonts w:ascii="Cambria Math" w:eastAsiaTheme="minorHAnsi" w:hAnsi="Cambria Math" w:cs="Arial"/>
                  <w:i/>
                  <w:iCs/>
                  <w:sz w:val="16"/>
                  <w:szCs w:val="16"/>
                </w:rPr>
              </m:ctrlPr>
            </m:sSubPr>
            <m:e>
              <m:r>
                <w:rPr>
                  <w:rFonts w:ascii="Cambria Math" w:hAnsi="Cambria Math" w:cs="Arial"/>
                  <w:sz w:val="16"/>
                  <w:szCs w:val="16"/>
                </w:rPr>
                <m:t>EN</m:t>
              </m:r>
            </m:e>
            <m:sub>
              <m:r>
                <w:rPr>
                  <w:rFonts w:ascii="Cambria Math" w:hAnsi="Cambria Math" w:cs="Arial"/>
                  <w:sz w:val="16"/>
                  <w:szCs w:val="16"/>
                </w:rPr>
                <m:t>j</m:t>
              </m:r>
            </m:sub>
          </m:sSub>
        </m:oMath>
      </m:oMathPara>
    </w:p>
    <w:p w14:paraId="7DBEA63A" w14:textId="77777777" w:rsidR="00577AB4" w:rsidRPr="008270B7" w:rsidRDefault="00577AB4" w:rsidP="008270B7">
      <w:pPr>
        <w:jc w:val="both"/>
        <w:rPr>
          <w:rFonts w:cs="Arial"/>
          <w:sz w:val="16"/>
          <w:szCs w:val="16"/>
          <w:highlight w:val="yellow"/>
        </w:rPr>
      </w:pPr>
    </w:p>
    <w:p w14:paraId="15FBEDE4" w14:textId="795DB3D6" w:rsidR="00577AB4" w:rsidRPr="008270B7" w:rsidRDefault="00577AB4" w:rsidP="008270B7">
      <w:pPr>
        <w:jc w:val="both"/>
        <w:rPr>
          <w:rFonts w:cs="Arial"/>
          <w:sz w:val="16"/>
          <w:szCs w:val="16"/>
        </w:rPr>
      </w:pPr>
      <w:r w:rsidRPr="008270B7">
        <w:rPr>
          <w:rFonts w:cs="Arial"/>
          <w:sz w:val="16"/>
          <w:szCs w:val="16"/>
        </w:rPr>
        <w:t xml:space="preserve">Donde </w:t>
      </w:r>
      <m:oMath>
        <m:sSub>
          <m:sSubPr>
            <m:ctrlPr>
              <w:rPr>
                <w:rFonts w:ascii="Cambria Math" w:eastAsiaTheme="minorHAnsi" w:hAnsi="Cambria Math" w:cs="Arial"/>
                <w:i/>
                <w:iCs/>
                <w:sz w:val="16"/>
                <w:szCs w:val="16"/>
              </w:rPr>
            </m:ctrlPr>
          </m:sSubPr>
          <m:e>
            <m:r>
              <w:rPr>
                <w:rFonts w:ascii="Cambria Math" w:hAnsi="Cambria Math" w:cs="Arial"/>
                <w:sz w:val="16"/>
                <w:szCs w:val="16"/>
              </w:rPr>
              <m:t>W</m:t>
            </m:r>
          </m:e>
          <m:sub>
            <m:r>
              <w:rPr>
                <w:rFonts w:ascii="Cambria Math" w:hAnsi="Cambria Math" w:cs="Arial"/>
                <w:sz w:val="16"/>
                <w:szCs w:val="16"/>
              </w:rPr>
              <m:t>j</m:t>
            </m:r>
          </m:sub>
        </m:sSub>
      </m:oMath>
      <w:r w:rsidRPr="008270B7">
        <w:rPr>
          <w:rFonts w:cs="Arial"/>
          <w:sz w:val="16"/>
          <w:szCs w:val="16"/>
        </w:rPr>
        <w:t xml:space="preserve"> corresponde al porcentaje de ponderación asignado según la calidad crediticia de la contraparte definida en el artículo 2.31.1.2.9 del Decreto 2555 de 2010 y en el Formato XXX (Proforma </w:t>
      </w:r>
      <w:proofErr w:type="gramStart"/>
      <w:r w:rsidRPr="008270B7">
        <w:rPr>
          <w:rFonts w:cs="Arial"/>
          <w:sz w:val="16"/>
          <w:szCs w:val="16"/>
        </w:rPr>
        <w:t>F.XXXX</w:t>
      </w:r>
      <w:proofErr w:type="gramEnd"/>
      <w:r w:rsidRPr="008270B7">
        <w:rPr>
          <w:rFonts w:cs="Arial"/>
          <w:sz w:val="16"/>
          <w:szCs w:val="16"/>
        </w:rPr>
        <w:t>-XX) “</w:t>
      </w:r>
      <w:bookmarkStart w:id="10" w:name="OLE_LINK1"/>
      <w:r w:rsidRPr="008270B7">
        <w:rPr>
          <w:rFonts w:cs="Arial"/>
          <w:sz w:val="16"/>
          <w:szCs w:val="16"/>
        </w:rPr>
        <w:t>Declaración del control de ley patrimonio adecuado - Seguros</w:t>
      </w:r>
      <w:bookmarkEnd w:id="10"/>
      <w:r w:rsidRPr="008270B7">
        <w:rPr>
          <w:rFonts w:cs="Arial"/>
          <w:sz w:val="16"/>
          <w:szCs w:val="16"/>
        </w:rPr>
        <w:t>”.</w:t>
      </w:r>
    </w:p>
    <w:p w14:paraId="7CE2102D" w14:textId="77777777" w:rsidR="00577AB4" w:rsidRPr="008270B7" w:rsidRDefault="00577AB4" w:rsidP="008270B7">
      <w:pPr>
        <w:jc w:val="both"/>
        <w:rPr>
          <w:rFonts w:cs="Arial"/>
          <w:sz w:val="16"/>
          <w:szCs w:val="16"/>
        </w:rPr>
      </w:pPr>
    </w:p>
    <w:p w14:paraId="07939213" w14:textId="77777777" w:rsidR="00577AB4" w:rsidRPr="008270B7" w:rsidRDefault="00577AB4" w:rsidP="008270B7">
      <w:pPr>
        <w:jc w:val="both"/>
        <w:rPr>
          <w:rFonts w:cs="Arial"/>
          <w:sz w:val="16"/>
          <w:szCs w:val="16"/>
        </w:rPr>
      </w:pPr>
      <w:r w:rsidRPr="008270B7">
        <w:rPr>
          <w:rFonts w:cs="Arial"/>
          <w:sz w:val="16"/>
          <w:szCs w:val="16"/>
        </w:rPr>
        <w:t>No obstante y de acuerdo con el parágrafo 3 y 4 del artículo 2.31.1.2.9 del Decreto 2555 de 2010, para efectos de determinar el valor de los activos ponderados por nivel de riesgo crediticio, las garantías transferidas con ocasión de la realización de operaciones repo o reporto, simultáneas o de transferencia temporal de valores se deben considerar de acuerdo con el porcentaje de ponderación de riesgo de contraparte que les corresponda, siempre que las mismas permanezcan en el balance del enajenante, originador o receptor.</w:t>
      </w:r>
    </w:p>
    <w:p w14:paraId="4357A2F7" w14:textId="77777777" w:rsidR="00577AB4" w:rsidRPr="008270B7" w:rsidRDefault="00577AB4" w:rsidP="008270B7">
      <w:pPr>
        <w:jc w:val="both"/>
        <w:rPr>
          <w:rFonts w:cs="Arial"/>
          <w:sz w:val="16"/>
          <w:szCs w:val="16"/>
        </w:rPr>
      </w:pPr>
    </w:p>
    <w:p w14:paraId="1413C330" w14:textId="77777777" w:rsidR="00577AB4" w:rsidRPr="008270B7" w:rsidRDefault="00577AB4" w:rsidP="008270B7">
      <w:pPr>
        <w:pStyle w:val="Prrafodelista"/>
        <w:numPr>
          <w:ilvl w:val="4"/>
          <w:numId w:val="8"/>
        </w:numPr>
        <w:ind w:left="0" w:firstLine="0"/>
        <w:jc w:val="both"/>
        <w:rPr>
          <w:rFonts w:cs="Arial"/>
          <w:sz w:val="16"/>
          <w:szCs w:val="16"/>
        </w:rPr>
      </w:pPr>
      <w:r w:rsidRPr="008270B7">
        <w:rPr>
          <w:rFonts w:cs="Arial"/>
          <w:sz w:val="16"/>
          <w:szCs w:val="16"/>
        </w:rPr>
        <w:t xml:space="preserve">Ponderación del activo de contingencias a cargo del reasegurador y las cuentas por cobrar con reaseguradores netas del depósito de reserva a reaseguradores del exterior </w:t>
      </w:r>
    </w:p>
    <w:p w14:paraId="5533B9AA" w14:textId="77777777" w:rsidR="00577AB4" w:rsidRPr="008270B7" w:rsidRDefault="00577AB4" w:rsidP="008270B7">
      <w:pPr>
        <w:jc w:val="both"/>
        <w:rPr>
          <w:rFonts w:cs="Arial"/>
          <w:sz w:val="16"/>
          <w:szCs w:val="16"/>
        </w:rPr>
      </w:pPr>
    </w:p>
    <w:p w14:paraId="3C66958F" w14:textId="77777777" w:rsidR="00577AB4" w:rsidRPr="008270B7" w:rsidRDefault="00577AB4" w:rsidP="008270B7">
      <w:pPr>
        <w:jc w:val="both"/>
        <w:rPr>
          <w:rFonts w:cs="Arial"/>
          <w:sz w:val="16"/>
          <w:szCs w:val="16"/>
        </w:rPr>
      </w:pPr>
      <w:r w:rsidRPr="008270B7">
        <w:rPr>
          <w:rFonts w:cs="Arial"/>
          <w:sz w:val="16"/>
          <w:szCs w:val="16"/>
        </w:rPr>
        <w:t>En la determinación del componente de riesgo de activo correspondiente a las cuentas por cobrar con reaseguradores y el activo de las contingencias a cargo de reaseguradores, descrito en los numerales 5 y 6 del art. 2.31.1.2.9 del Decreto 2555 de 2010, las entidades aseguradoras deben emplear la probabilidad de incumplimiento en un año, para lo cual tomarán la probabilidad de que la calificación del reasegurador migre a las calificaciones de BB o menos de las matrices de transición para el sector de seguros publicadas más recientemente por la sociedad calificadora de riesgo que califica a cada reasegurador. La probabilidad de incumplimiento se determina como la suma algebraica de la probabilidad de transición de la calificación actual del reasegurador a las calificaciones de BB hasta D, como se muestra en la siguiente fórmula:</w:t>
      </w:r>
    </w:p>
    <w:p w14:paraId="468470E1" w14:textId="77777777" w:rsidR="00577AB4" w:rsidRPr="008270B7" w:rsidRDefault="00577AB4" w:rsidP="008270B7">
      <w:pPr>
        <w:jc w:val="both"/>
        <w:rPr>
          <w:rFonts w:cs="Arial"/>
          <w:sz w:val="16"/>
          <w:szCs w:val="16"/>
        </w:rPr>
      </w:pPr>
    </w:p>
    <w:p w14:paraId="61EB5116" w14:textId="53BD8AB2" w:rsidR="00577AB4" w:rsidRPr="008270B7" w:rsidRDefault="00000000" w:rsidP="008270B7">
      <w:pPr>
        <w:jc w:val="both"/>
        <w:rPr>
          <w:rFonts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P</m:t>
              </m:r>
            </m:e>
            <m:sub>
              <m:r>
                <w:rPr>
                  <w:rFonts w:ascii="Cambria Math" w:hAnsi="Cambria Math" w:cs="Arial"/>
                  <w:sz w:val="16"/>
                  <w:szCs w:val="16"/>
                </w:rPr>
                <m:t>i</m:t>
              </m:r>
            </m:sub>
          </m:sSub>
          <m:r>
            <w:rPr>
              <w:rFonts w:ascii="Cambria Math" w:hAnsi="Cambria Math" w:cs="Arial"/>
              <w:sz w:val="16"/>
              <w:szCs w:val="16"/>
            </w:rPr>
            <m:t>=</m:t>
          </m:r>
          <m:nary>
            <m:naryPr>
              <m:chr m:val="∑"/>
              <m:limLoc m:val="undOvr"/>
              <m:ctrlPr>
                <w:rPr>
                  <w:rFonts w:ascii="Cambria Math" w:hAnsi="Cambria Math" w:cs="Arial"/>
                  <w:i/>
                  <w:sz w:val="16"/>
                  <w:szCs w:val="16"/>
                </w:rPr>
              </m:ctrlPr>
            </m:naryPr>
            <m:sub>
              <m:r>
                <w:rPr>
                  <w:rFonts w:ascii="Cambria Math" w:hAnsi="Cambria Math" w:cs="Arial"/>
                  <w:sz w:val="16"/>
                  <w:szCs w:val="16"/>
                </w:rPr>
                <m:t>j=BB</m:t>
              </m:r>
            </m:sub>
            <m:sup>
              <m:r>
                <w:rPr>
                  <w:rFonts w:ascii="Cambria Math" w:hAnsi="Cambria Math" w:cs="Arial"/>
                  <w:sz w:val="16"/>
                  <w:szCs w:val="16"/>
                </w:rPr>
                <m:t>D</m:t>
              </m:r>
            </m:sup>
            <m:e>
              <m:sSub>
                <m:sSubPr>
                  <m:ctrlPr>
                    <w:rPr>
                      <w:rFonts w:ascii="Cambria Math" w:hAnsi="Cambria Math" w:cs="Arial"/>
                      <w:i/>
                      <w:sz w:val="16"/>
                      <w:szCs w:val="16"/>
                    </w:rPr>
                  </m:ctrlPr>
                </m:sSubPr>
                <m:e>
                  <m:r>
                    <w:rPr>
                      <w:rFonts w:ascii="Cambria Math" w:hAnsi="Cambria Math" w:cs="Arial"/>
                      <w:sz w:val="16"/>
                      <w:szCs w:val="16"/>
                    </w:rPr>
                    <m:t>P</m:t>
                  </m:r>
                </m:e>
                <m:sub>
                  <m:r>
                    <w:rPr>
                      <w:rFonts w:ascii="Cambria Math" w:hAnsi="Cambria Math" w:cs="Arial"/>
                      <w:sz w:val="16"/>
                      <w:szCs w:val="16"/>
                    </w:rPr>
                    <m:t>i,j</m:t>
                  </m:r>
                </m:sub>
              </m:sSub>
            </m:e>
          </m:nary>
        </m:oMath>
      </m:oMathPara>
    </w:p>
    <w:p w14:paraId="1B92A1AB" w14:textId="77777777" w:rsidR="00577AB4" w:rsidRPr="008270B7" w:rsidRDefault="00577AB4" w:rsidP="008270B7">
      <w:pPr>
        <w:jc w:val="both"/>
        <w:rPr>
          <w:rFonts w:cs="Arial"/>
          <w:sz w:val="16"/>
          <w:szCs w:val="16"/>
        </w:rPr>
        <w:sectPr w:rsidR="00577AB4" w:rsidRPr="008270B7" w:rsidSect="00BB0A30">
          <w:footerReference w:type="first" r:id="rId54"/>
          <w:pgSz w:w="12240" w:h="18720" w:code="257"/>
          <w:pgMar w:top="1417" w:right="1701" w:bottom="1417" w:left="1701" w:header="709" w:footer="865" w:gutter="0"/>
          <w:cols w:space="708"/>
          <w:titlePg/>
          <w:docGrid w:linePitch="360"/>
        </w:sectPr>
      </w:pPr>
      <w:r w:rsidRPr="008270B7">
        <w:rPr>
          <w:rFonts w:cs="Arial"/>
          <w:sz w:val="16"/>
          <w:szCs w:val="16"/>
        </w:rPr>
        <w:t>Donde,</w:t>
      </w:r>
    </w:p>
    <w:p w14:paraId="6350ED71" w14:textId="47FDB11B" w:rsidR="00577AB4" w:rsidRPr="008270B7" w:rsidRDefault="00000000" w:rsidP="008270B7">
      <w:pPr>
        <w:jc w:val="both"/>
        <w:rPr>
          <w:rFonts w:cs="Arial"/>
          <w:sz w:val="16"/>
          <w:szCs w:val="16"/>
        </w:rPr>
      </w:pPr>
      <m:oMath>
        <m:sSub>
          <m:sSubPr>
            <m:ctrlPr>
              <w:rPr>
                <w:rFonts w:ascii="Cambria Math" w:hAnsi="Cambria Math" w:cs="Arial"/>
                <w:i/>
                <w:sz w:val="16"/>
                <w:szCs w:val="16"/>
              </w:rPr>
            </m:ctrlPr>
          </m:sSubPr>
          <m:e>
            <m:r>
              <w:rPr>
                <w:rFonts w:ascii="Cambria Math" w:hAnsi="Cambria Math" w:cs="Arial"/>
                <w:sz w:val="16"/>
                <w:szCs w:val="16"/>
              </w:rPr>
              <m:t>P</m:t>
            </m:r>
          </m:e>
          <m:sub>
            <m:r>
              <w:rPr>
                <w:rFonts w:ascii="Cambria Math" w:hAnsi="Cambria Math" w:cs="Arial"/>
                <w:sz w:val="16"/>
                <w:szCs w:val="16"/>
              </w:rPr>
              <m:t>i</m:t>
            </m:r>
          </m:sub>
        </m:sSub>
      </m:oMath>
      <w:r w:rsidR="00577AB4" w:rsidRPr="008270B7">
        <w:rPr>
          <w:rFonts w:cs="Arial"/>
          <w:sz w:val="16"/>
          <w:szCs w:val="16"/>
        </w:rPr>
        <w:t xml:space="preserve"> corresponde a la probabilidad de incumplimiento de la calificación i del reasegurador.</w:t>
      </w:r>
    </w:p>
    <w:p w14:paraId="32B1FD77" w14:textId="77777777" w:rsidR="00577AB4" w:rsidRPr="008270B7" w:rsidRDefault="00577AB4" w:rsidP="008270B7">
      <w:pPr>
        <w:jc w:val="both"/>
        <w:rPr>
          <w:rFonts w:cs="Arial"/>
          <w:sz w:val="16"/>
          <w:szCs w:val="16"/>
        </w:rPr>
      </w:pPr>
      <w:r w:rsidRPr="008270B7">
        <w:rPr>
          <w:rFonts w:cs="Arial"/>
          <w:sz w:val="16"/>
          <w:szCs w:val="16"/>
        </w:rPr>
        <w:t>i corresponde a la calificación actual del reasegurador con i= AAA, AA, A, BBB.</w:t>
      </w:r>
    </w:p>
    <w:p w14:paraId="715589E8" w14:textId="2A580693" w:rsidR="00577AB4" w:rsidRPr="008270B7" w:rsidRDefault="00577AB4" w:rsidP="008270B7">
      <w:pPr>
        <w:jc w:val="both"/>
        <w:rPr>
          <w:rFonts w:cs="Arial"/>
          <w:sz w:val="16"/>
          <w:szCs w:val="16"/>
        </w:rPr>
      </w:pPr>
      <w:r w:rsidRPr="008270B7">
        <w:rPr>
          <w:rFonts w:cs="Arial"/>
          <w:sz w:val="16"/>
          <w:szCs w:val="16"/>
        </w:rPr>
        <w:t>j corresponde a la calificación inferior a grado de inversión con j=BB, B, CCC, C y D.</w:t>
      </w:r>
    </w:p>
    <w:p w14:paraId="799874A6" w14:textId="586EE97E" w:rsidR="00577AB4" w:rsidRPr="008270B7" w:rsidRDefault="00000000" w:rsidP="008270B7">
      <w:pPr>
        <w:jc w:val="both"/>
        <w:rPr>
          <w:rFonts w:cs="Arial"/>
          <w:sz w:val="16"/>
          <w:szCs w:val="16"/>
        </w:rPr>
      </w:pPr>
      <m:oMath>
        <m:sSub>
          <m:sSubPr>
            <m:ctrlPr>
              <w:rPr>
                <w:rFonts w:ascii="Cambria Math" w:hAnsi="Cambria Math" w:cs="Arial"/>
                <w:i/>
                <w:sz w:val="16"/>
                <w:szCs w:val="16"/>
              </w:rPr>
            </m:ctrlPr>
          </m:sSubPr>
          <m:e>
            <m:r>
              <w:rPr>
                <w:rFonts w:ascii="Cambria Math" w:hAnsi="Cambria Math" w:cs="Arial"/>
                <w:sz w:val="16"/>
                <w:szCs w:val="16"/>
              </w:rPr>
              <m:t>P</m:t>
            </m:r>
          </m:e>
          <m:sub>
            <m:r>
              <w:rPr>
                <w:rFonts w:ascii="Cambria Math" w:hAnsi="Cambria Math" w:cs="Arial"/>
                <w:sz w:val="16"/>
                <w:szCs w:val="16"/>
              </w:rPr>
              <m:t>i,j</m:t>
            </m:r>
          </m:sub>
        </m:sSub>
      </m:oMath>
      <w:r w:rsidR="00577AB4" w:rsidRPr="008270B7">
        <w:rPr>
          <w:rFonts w:cs="Arial"/>
          <w:sz w:val="16"/>
          <w:szCs w:val="16"/>
        </w:rPr>
        <w:t xml:space="preserve"> corresponde a la probabilidad de migrar de una calificación i a la calificación j.</w:t>
      </w:r>
    </w:p>
    <w:p w14:paraId="68C00FBE" w14:textId="77777777" w:rsidR="00577AB4" w:rsidRPr="008270B7" w:rsidRDefault="00577AB4" w:rsidP="008270B7">
      <w:pPr>
        <w:jc w:val="both"/>
        <w:rPr>
          <w:rFonts w:cs="Arial"/>
          <w:sz w:val="16"/>
          <w:szCs w:val="16"/>
        </w:rPr>
      </w:pPr>
    </w:p>
    <w:p w14:paraId="2B28ED93" w14:textId="77777777" w:rsidR="00577AB4" w:rsidRPr="008270B7" w:rsidRDefault="00577AB4" w:rsidP="008270B7">
      <w:pPr>
        <w:jc w:val="both"/>
        <w:rPr>
          <w:rFonts w:cs="Arial"/>
          <w:sz w:val="16"/>
          <w:szCs w:val="16"/>
        </w:rPr>
      </w:pPr>
      <w:r w:rsidRPr="008270B7">
        <w:rPr>
          <w:rFonts w:cs="Arial"/>
          <w:sz w:val="16"/>
          <w:szCs w:val="16"/>
        </w:rPr>
        <w:t xml:space="preserve">En el caso que un reasegurador cuente con más de una calificación internacional de fortaleza financiera, la entidad aseguradora debe tomar la probabilidad de incumplimiento correspondiente a la calificación más baja o de mayor riesgo. Para la determinación de la equivalencia entre las calificaciones, la entidad aseguradora debe tomar la siguiente tabla de equivalencias. Cuando el reasegurador cuente con una calificación que proceda de una agencia calificadora distinta de las incluidas en la siguiente tabla de equivalencias, la entidad aseguradora debe incorporar en su análisis de equivalencias una tabla que presente una comparación entre las calificaciones de la agencia calificadora del reasegurador y alguna de las agencias incluidas en la tabla. Si las diferentes calificaciones internacionales de fortaleza financiera se consideran como iguales, la entidad aseguradora debe tomar la probabilidad de incumplimiento más alta entre las matrices de transición. </w:t>
      </w:r>
    </w:p>
    <w:p w14:paraId="5C2EFC6A" w14:textId="77777777" w:rsidR="00577AB4" w:rsidRPr="008270B7" w:rsidRDefault="00577AB4" w:rsidP="008270B7">
      <w:pPr>
        <w:jc w:val="both"/>
        <w:rPr>
          <w:rFonts w:cs="Arial"/>
          <w:sz w:val="16"/>
          <w:szCs w:val="16"/>
        </w:rPr>
      </w:pPr>
    </w:p>
    <w:tbl>
      <w:tblPr>
        <w:tblW w:w="4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5"/>
        <w:gridCol w:w="1033"/>
        <w:gridCol w:w="992"/>
        <w:gridCol w:w="1041"/>
        <w:gridCol w:w="993"/>
      </w:tblGrid>
      <w:tr w:rsidR="00577AB4" w:rsidRPr="008270B7" w14:paraId="334B9CC8" w14:textId="77777777" w:rsidTr="00BB0A30">
        <w:trPr>
          <w:cantSplit/>
          <w:trHeight w:val="1266"/>
          <w:jc w:val="center"/>
        </w:trPr>
        <w:tc>
          <w:tcPr>
            <w:tcW w:w="805" w:type="dxa"/>
            <w:tcBorders>
              <w:left w:val="double" w:sz="4" w:space="0" w:color="auto"/>
            </w:tcBorders>
            <w:textDirection w:val="btLr"/>
            <w:vAlign w:val="center"/>
          </w:tcPr>
          <w:p w14:paraId="11964A73" w14:textId="77777777" w:rsidR="00577AB4" w:rsidRPr="008270B7" w:rsidRDefault="00577AB4" w:rsidP="008270B7">
            <w:pPr>
              <w:ind w:left="113" w:right="113"/>
              <w:jc w:val="center"/>
              <w:rPr>
                <w:rFonts w:cs="Arial"/>
                <w:sz w:val="16"/>
                <w:szCs w:val="16"/>
                <w:lang w:val="es-CO"/>
              </w:rPr>
            </w:pPr>
            <w:r w:rsidRPr="008270B7">
              <w:rPr>
                <w:rFonts w:cs="Arial"/>
                <w:sz w:val="16"/>
                <w:szCs w:val="16"/>
                <w:lang w:val="es-CO"/>
              </w:rPr>
              <w:t>Calificadora</w:t>
            </w:r>
          </w:p>
        </w:tc>
        <w:tc>
          <w:tcPr>
            <w:tcW w:w="1033" w:type="dxa"/>
            <w:shd w:val="clear" w:color="auto" w:fill="auto"/>
            <w:vAlign w:val="center"/>
            <w:hideMark/>
          </w:tcPr>
          <w:p w14:paraId="4DB2CC62" w14:textId="77777777" w:rsidR="00577AB4" w:rsidRPr="008270B7" w:rsidRDefault="00577AB4" w:rsidP="008270B7">
            <w:pPr>
              <w:jc w:val="center"/>
              <w:rPr>
                <w:rFonts w:cs="Arial"/>
                <w:sz w:val="16"/>
                <w:szCs w:val="16"/>
                <w:lang w:val="es-CO"/>
              </w:rPr>
            </w:pPr>
            <w:r w:rsidRPr="008270B7">
              <w:rPr>
                <w:rFonts w:cs="Arial"/>
                <w:sz w:val="16"/>
                <w:szCs w:val="16"/>
                <w:lang w:val="es-CO"/>
              </w:rPr>
              <w:t xml:space="preserve">Standard &amp; </w:t>
            </w:r>
            <w:proofErr w:type="spellStart"/>
            <w:r w:rsidRPr="008270B7">
              <w:rPr>
                <w:rFonts w:cs="Arial"/>
                <w:sz w:val="16"/>
                <w:szCs w:val="16"/>
                <w:lang w:val="es-CO"/>
              </w:rPr>
              <w:t>Poor’s</w:t>
            </w:r>
            <w:proofErr w:type="spellEnd"/>
          </w:p>
        </w:tc>
        <w:tc>
          <w:tcPr>
            <w:tcW w:w="992" w:type="dxa"/>
            <w:shd w:val="clear" w:color="auto" w:fill="auto"/>
            <w:vAlign w:val="center"/>
            <w:hideMark/>
          </w:tcPr>
          <w:p w14:paraId="5F57A4B1" w14:textId="77777777" w:rsidR="00577AB4" w:rsidRPr="008270B7" w:rsidRDefault="00577AB4" w:rsidP="008270B7">
            <w:pPr>
              <w:jc w:val="center"/>
              <w:rPr>
                <w:rFonts w:cs="Arial"/>
                <w:sz w:val="16"/>
                <w:szCs w:val="16"/>
                <w:lang w:val="es-CO"/>
              </w:rPr>
            </w:pPr>
            <w:r w:rsidRPr="008270B7">
              <w:rPr>
                <w:rFonts w:cs="Arial"/>
                <w:sz w:val="16"/>
                <w:szCs w:val="16"/>
                <w:lang w:val="es-CO"/>
              </w:rPr>
              <w:t>Fitch</w:t>
            </w:r>
          </w:p>
        </w:tc>
        <w:tc>
          <w:tcPr>
            <w:tcW w:w="1041" w:type="dxa"/>
            <w:shd w:val="clear" w:color="auto" w:fill="auto"/>
            <w:vAlign w:val="center"/>
            <w:hideMark/>
          </w:tcPr>
          <w:p w14:paraId="4055F304" w14:textId="77777777" w:rsidR="00577AB4" w:rsidRPr="008270B7" w:rsidRDefault="00577AB4" w:rsidP="008270B7">
            <w:pPr>
              <w:jc w:val="center"/>
              <w:rPr>
                <w:rFonts w:cs="Arial"/>
                <w:sz w:val="16"/>
                <w:szCs w:val="16"/>
                <w:lang w:val="es-CO"/>
              </w:rPr>
            </w:pPr>
            <w:r w:rsidRPr="008270B7">
              <w:rPr>
                <w:rFonts w:cs="Arial"/>
                <w:sz w:val="16"/>
                <w:szCs w:val="16"/>
                <w:lang w:val="es-CO"/>
              </w:rPr>
              <w:t>Moody’s</w:t>
            </w:r>
          </w:p>
        </w:tc>
        <w:tc>
          <w:tcPr>
            <w:tcW w:w="993" w:type="dxa"/>
            <w:shd w:val="clear" w:color="auto" w:fill="auto"/>
            <w:vAlign w:val="center"/>
            <w:hideMark/>
          </w:tcPr>
          <w:p w14:paraId="3C58BCB1" w14:textId="77777777" w:rsidR="00577AB4" w:rsidRPr="008270B7" w:rsidRDefault="00577AB4" w:rsidP="008270B7">
            <w:pPr>
              <w:jc w:val="center"/>
              <w:rPr>
                <w:rFonts w:cs="Arial"/>
                <w:sz w:val="16"/>
                <w:szCs w:val="16"/>
                <w:lang w:val="es-CO"/>
              </w:rPr>
            </w:pPr>
            <w:r w:rsidRPr="008270B7">
              <w:rPr>
                <w:rFonts w:cs="Arial"/>
                <w:sz w:val="16"/>
                <w:szCs w:val="16"/>
                <w:lang w:val="es-CO"/>
              </w:rPr>
              <w:t xml:space="preserve">A.M. </w:t>
            </w:r>
            <w:proofErr w:type="spellStart"/>
            <w:r w:rsidRPr="008270B7">
              <w:rPr>
                <w:rFonts w:cs="Arial"/>
                <w:sz w:val="16"/>
                <w:szCs w:val="16"/>
                <w:lang w:val="es-CO"/>
              </w:rPr>
              <w:t>Best</w:t>
            </w:r>
            <w:proofErr w:type="spellEnd"/>
          </w:p>
        </w:tc>
      </w:tr>
      <w:tr w:rsidR="00577AB4" w:rsidRPr="008270B7" w14:paraId="392A3819" w14:textId="77777777" w:rsidTr="00BB0A30">
        <w:trPr>
          <w:trHeight w:val="100"/>
          <w:jc w:val="center"/>
        </w:trPr>
        <w:tc>
          <w:tcPr>
            <w:tcW w:w="805" w:type="dxa"/>
            <w:vMerge w:val="restart"/>
            <w:tcBorders>
              <w:left w:val="double" w:sz="4" w:space="0" w:color="auto"/>
            </w:tcBorders>
            <w:textDirection w:val="btLr"/>
            <w:vAlign w:val="center"/>
          </w:tcPr>
          <w:p w14:paraId="76CA6D42" w14:textId="77777777" w:rsidR="00577AB4" w:rsidRPr="008270B7" w:rsidRDefault="00577AB4" w:rsidP="008270B7">
            <w:pPr>
              <w:ind w:left="113" w:right="113"/>
              <w:jc w:val="center"/>
              <w:rPr>
                <w:rFonts w:cs="Arial"/>
                <w:sz w:val="16"/>
                <w:szCs w:val="16"/>
                <w:lang w:val="es-CO"/>
              </w:rPr>
            </w:pPr>
            <w:r w:rsidRPr="008270B7">
              <w:rPr>
                <w:rFonts w:cs="Arial"/>
                <w:sz w:val="16"/>
                <w:szCs w:val="16"/>
                <w:lang w:val="es-CO"/>
              </w:rPr>
              <w:t>Calificaciones internacionales de fortaleza financiera</w:t>
            </w:r>
          </w:p>
        </w:tc>
        <w:tc>
          <w:tcPr>
            <w:tcW w:w="1033" w:type="dxa"/>
            <w:shd w:val="clear" w:color="auto" w:fill="auto"/>
            <w:noWrap/>
            <w:vAlign w:val="bottom"/>
            <w:hideMark/>
          </w:tcPr>
          <w:p w14:paraId="4ECE7D8E" w14:textId="77777777" w:rsidR="00577AB4" w:rsidRPr="008270B7" w:rsidRDefault="00577AB4" w:rsidP="008270B7">
            <w:pPr>
              <w:jc w:val="center"/>
              <w:rPr>
                <w:rFonts w:cs="Arial"/>
                <w:sz w:val="16"/>
                <w:szCs w:val="16"/>
                <w:lang w:val="es-CO"/>
              </w:rPr>
            </w:pPr>
            <w:r w:rsidRPr="008270B7">
              <w:rPr>
                <w:rFonts w:cs="Arial"/>
                <w:sz w:val="16"/>
                <w:szCs w:val="16"/>
                <w:lang w:val="es-CO"/>
              </w:rPr>
              <w:t>AAA</w:t>
            </w:r>
          </w:p>
        </w:tc>
        <w:tc>
          <w:tcPr>
            <w:tcW w:w="992" w:type="dxa"/>
            <w:shd w:val="clear" w:color="auto" w:fill="auto"/>
            <w:noWrap/>
            <w:vAlign w:val="bottom"/>
            <w:hideMark/>
          </w:tcPr>
          <w:p w14:paraId="62B37EBC" w14:textId="77777777" w:rsidR="00577AB4" w:rsidRPr="008270B7" w:rsidRDefault="00577AB4" w:rsidP="008270B7">
            <w:pPr>
              <w:jc w:val="center"/>
              <w:rPr>
                <w:rFonts w:cs="Arial"/>
                <w:sz w:val="16"/>
                <w:szCs w:val="16"/>
                <w:lang w:val="es-CO"/>
              </w:rPr>
            </w:pPr>
            <w:r w:rsidRPr="008270B7">
              <w:rPr>
                <w:rFonts w:cs="Arial"/>
                <w:sz w:val="16"/>
                <w:szCs w:val="16"/>
                <w:lang w:val="es-CO"/>
              </w:rPr>
              <w:t>AAA</w:t>
            </w:r>
          </w:p>
        </w:tc>
        <w:tc>
          <w:tcPr>
            <w:tcW w:w="1041" w:type="dxa"/>
            <w:shd w:val="clear" w:color="auto" w:fill="auto"/>
            <w:noWrap/>
            <w:vAlign w:val="bottom"/>
            <w:hideMark/>
          </w:tcPr>
          <w:p w14:paraId="1B11DD72"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Aaa</w:t>
            </w:r>
            <w:proofErr w:type="spellEnd"/>
          </w:p>
        </w:tc>
        <w:tc>
          <w:tcPr>
            <w:tcW w:w="993" w:type="dxa"/>
            <w:shd w:val="clear" w:color="auto" w:fill="auto"/>
            <w:noWrap/>
            <w:vAlign w:val="center"/>
            <w:hideMark/>
          </w:tcPr>
          <w:p w14:paraId="17692E84" w14:textId="77777777" w:rsidR="00577AB4" w:rsidRPr="008270B7" w:rsidRDefault="00577AB4" w:rsidP="008270B7">
            <w:pPr>
              <w:jc w:val="center"/>
              <w:rPr>
                <w:rFonts w:cs="Arial"/>
                <w:sz w:val="16"/>
                <w:szCs w:val="16"/>
                <w:lang w:val="es-CO"/>
              </w:rPr>
            </w:pPr>
            <w:r w:rsidRPr="008270B7">
              <w:rPr>
                <w:rFonts w:cs="Arial"/>
                <w:sz w:val="16"/>
                <w:szCs w:val="16"/>
                <w:lang w:val="es-CO"/>
              </w:rPr>
              <w:t>A++, A+</w:t>
            </w:r>
          </w:p>
        </w:tc>
      </w:tr>
      <w:tr w:rsidR="00577AB4" w:rsidRPr="008270B7" w14:paraId="297809BC" w14:textId="77777777" w:rsidTr="00BB0A30">
        <w:trPr>
          <w:trHeight w:val="174"/>
          <w:jc w:val="center"/>
        </w:trPr>
        <w:tc>
          <w:tcPr>
            <w:tcW w:w="805" w:type="dxa"/>
            <w:vMerge/>
            <w:tcBorders>
              <w:left w:val="double" w:sz="4" w:space="0" w:color="auto"/>
            </w:tcBorders>
          </w:tcPr>
          <w:p w14:paraId="23B6EF20"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3C006283" w14:textId="77777777" w:rsidR="00577AB4" w:rsidRPr="008270B7" w:rsidRDefault="00577AB4" w:rsidP="008270B7">
            <w:pPr>
              <w:jc w:val="center"/>
              <w:rPr>
                <w:rFonts w:cs="Arial"/>
                <w:sz w:val="16"/>
                <w:szCs w:val="16"/>
                <w:lang w:val="es-CO"/>
              </w:rPr>
            </w:pPr>
            <w:r w:rsidRPr="008270B7">
              <w:rPr>
                <w:rFonts w:cs="Arial"/>
                <w:sz w:val="16"/>
                <w:szCs w:val="16"/>
                <w:lang w:val="es-CO"/>
              </w:rPr>
              <w:t>AA +</w:t>
            </w:r>
          </w:p>
        </w:tc>
        <w:tc>
          <w:tcPr>
            <w:tcW w:w="992" w:type="dxa"/>
            <w:shd w:val="clear" w:color="auto" w:fill="auto"/>
            <w:noWrap/>
            <w:vAlign w:val="bottom"/>
            <w:hideMark/>
          </w:tcPr>
          <w:p w14:paraId="75D004CB" w14:textId="77777777" w:rsidR="00577AB4" w:rsidRPr="008270B7" w:rsidRDefault="00577AB4" w:rsidP="008270B7">
            <w:pPr>
              <w:jc w:val="center"/>
              <w:rPr>
                <w:rFonts w:cs="Arial"/>
                <w:sz w:val="16"/>
                <w:szCs w:val="16"/>
                <w:lang w:val="es-CO"/>
              </w:rPr>
            </w:pPr>
            <w:r w:rsidRPr="008270B7">
              <w:rPr>
                <w:rFonts w:cs="Arial"/>
                <w:sz w:val="16"/>
                <w:szCs w:val="16"/>
                <w:lang w:val="es-CO"/>
              </w:rPr>
              <w:t>AA +</w:t>
            </w:r>
          </w:p>
        </w:tc>
        <w:tc>
          <w:tcPr>
            <w:tcW w:w="1041" w:type="dxa"/>
            <w:shd w:val="clear" w:color="auto" w:fill="auto"/>
            <w:noWrap/>
            <w:vAlign w:val="bottom"/>
            <w:hideMark/>
          </w:tcPr>
          <w:p w14:paraId="4854CB58"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Aa</w:t>
            </w:r>
            <w:proofErr w:type="spellEnd"/>
            <w:r w:rsidRPr="008270B7">
              <w:rPr>
                <w:rFonts w:cs="Arial"/>
                <w:sz w:val="16"/>
                <w:szCs w:val="16"/>
                <w:lang w:val="es-CO"/>
              </w:rPr>
              <w:t xml:space="preserve"> 1</w:t>
            </w:r>
          </w:p>
        </w:tc>
        <w:tc>
          <w:tcPr>
            <w:tcW w:w="993" w:type="dxa"/>
            <w:vMerge w:val="restart"/>
            <w:shd w:val="clear" w:color="auto" w:fill="auto"/>
            <w:noWrap/>
            <w:vAlign w:val="center"/>
            <w:hideMark/>
          </w:tcPr>
          <w:p w14:paraId="7809C283" w14:textId="77777777" w:rsidR="00577AB4" w:rsidRPr="008270B7" w:rsidRDefault="00577AB4" w:rsidP="008270B7">
            <w:pPr>
              <w:jc w:val="center"/>
              <w:rPr>
                <w:rFonts w:cs="Arial"/>
                <w:sz w:val="16"/>
                <w:szCs w:val="16"/>
                <w:lang w:val="es-CO"/>
              </w:rPr>
            </w:pPr>
            <w:r w:rsidRPr="008270B7">
              <w:rPr>
                <w:rFonts w:cs="Arial"/>
                <w:sz w:val="16"/>
                <w:szCs w:val="16"/>
                <w:lang w:val="es-CO"/>
              </w:rPr>
              <w:t xml:space="preserve">A </w:t>
            </w:r>
          </w:p>
        </w:tc>
      </w:tr>
      <w:tr w:rsidR="00577AB4" w:rsidRPr="008270B7" w14:paraId="2ABC5A1B" w14:textId="77777777" w:rsidTr="00BB0A30">
        <w:trPr>
          <w:trHeight w:val="121"/>
          <w:jc w:val="center"/>
        </w:trPr>
        <w:tc>
          <w:tcPr>
            <w:tcW w:w="805" w:type="dxa"/>
            <w:vMerge/>
            <w:tcBorders>
              <w:left w:val="double" w:sz="4" w:space="0" w:color="auto"/>
            </w:tcBorders>
          </w:tcPr>
          <w:p w14:paraId="7D1A4BBB"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74D84E59" w14:textId="77777777" w:rsidR="00577AB4" w:rsidRPr="008270B7" w:rsidRDefault="00577AB4" w:rsidP="008270B7">
            <w:pPr>
              <w:jc w:val="center"/>
              <w:rPr>
                <w:rFonts w:cs="Arial"/>
                <w:sz w:val="16"/>
                <w:szCs w:val="16"/>
                <w:lang w:val="es-CO"/>
              </w:rPr>
            </w:pPr>
            <w:r w:rsidRPr="008270B7">
              <w:rPr>
                <w:rFonts w:cs="Arial"/>
                <w:sz w:val="16"/>
                <w:szCs w:val="16"/>
                <w:lang w:val="es-CO"/>
              </w:rPr>
              <w:t>AA</w:t>
            </w:r>
          </w:p>
        </w:tc>
        <w:tc>
          <w:tcPr>
            <w:tcW w:w="992" w:type="dxa"/>
            <w:shd w:val="clear" w:color="auto" w:fill="auto"/>
            <w:noWrap/>
            <w:vAlign w:val="bottom"/>
            <w:hideMark/>
          </w:tcPr>
          <w:p w14:paraId="2942B1A2" w14:textId="77777777" w:rsidR="00577AB4" w:rsidRPr="008270B7" w:rsidRDefault="00577AB4" w:rsidP="008270B7">
            <w:pPr>
              <w:jc w:val="center"/>
              <w:rPr>
                <w:rFonts w:cs="Arial"/>
                <w:sz w:val="16"/>
                <w:szCs w:val="16"/>
                <w:lang w:val="es-CO"/>
              </w:rPr>
            </w:pPr>
            <w:r w:rsidRPr="008270B7">
              <w:rPr>
                <w:rFonts w:cs="Arial"/>
                <w:sz w:val="16"/>
                <w:szCs w:val="16"/>
                <w:lang w:val="es-CO"/>
              </w:rPr>
              <w:t>AA</w:t>
            </w:r>
          </w:p>
        </w:tc>
        <w:tc>
          <w:tcPr>
            <w:tcW w:w="1041" w:type="dxa"/>
            <w:shd w:val="clear" w:color="auto" w:fill="auto"/>
            <w:noWrap/>
            <w:vAlign w:val="bottom"/>
            <w:hideMark/>
          </w:tcPr>
          <w:p w14:paraId="7EA54CB8"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Aa</w:t>
            </w:r>
            <w:proofErr w:type="spellEnd"/>
            <w:r w:rsidRPr="008270B7">
              <w:rPr>
                <w:rFonts w:cs="Arial"/>
                <w:sz w:val="16"/>
                <w:szCs w:val="16"/>
                <w:lang w:val="es-CO"/>
              </w:rPr>
              <w:t xml:space="preserve"> 2</w:t>
            </w:r>
          </w:p>
        </w:tc>
        <w:tc>
          <w:tcPr>
            <w:tcW w:w="993" w:type="dxa"/>
            <w:vMerge/>
            <w:vAlign w:val="center"/>
            <w:hideMark/>
          </w:tcPr>
          <w:p w14:paraId="267D29E1" w14:textId="77777777" w:rsidR="00577AB4" w:rsidRPr="008270B7" w:rsidRDefault="00577AB4" w:rsidP="008270B7">
            <w:pPr>
              <w:rPr>
                <w:rFonts w:cs="Arial"/>
                <w:sz w:val="16"/>
                <w:szCs w:val="16"/>
                <w:lang w:val="es-CO"/>
              </w:rPr>
            </w:pPr>
          </w:p>
        </w:tc>
      </w:tr>
      <w:tr w:rsidR="00577AB4" w:rsidRPr="008270B7" w14:paraId="50A9A227" w14:textId="77777777" w:rsidTr="00BB0A30">
        <w:trPr>
          <w:trHeight w:val="52"/>
          <w:jc w:val="center"/>
        </w:trPr>
        <w:tc>
          <w:tcPr>
            <w:tcW w:w="805" w:type="dxa"/>
            <w:vMerge/>
            <w:tcBorders>
              <w:left w:val="double" w:sz="4" w:space="0" w:color="auto"/>
            </w:tcBorders>
          </w:tcPr>
          <w:p w14:paraId="16D98E96"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333FBCA0" w14:textId="77777777" w:rsidR="00577AB4" w:rsidRPr="008270B7" w:rsidRDefault="00577AB4" w:rsidP="008270B7">
            <w:pPr>
              <w:jc w:val="center"/>
              <w:rPr>
                <w:rFonts w:cs="Arial"/>
                <w:sz w:val="16"/>
                <w:szCs w:val="16"/>
                <w:lang w:val="es-CO"/>
              </w:rPr>
            </w:pPr>
            <w:r w:rsidRPr="008270B7">
              <w:rPr>
                <w:rFonts w:cs="Arial"/>
                <w:sz w:val="16"/>
                <w:szCs w:val="16"/>
                <w:lang w:val="es-CO"/>
              </w:rPr>
              <w:t>AA -</w:t>
            </w:r>
          </w:p>
        </w:tc>
        <w:tc>
          <w:tcPr>
            <w:tcW w:w="992" w:type="dxa"/>
            <w:shd w:val="clear" w:color="auto" w:fill="auto"/>
            <w:noWrap/>
            <w:vAlign w:val="bottom"/>
            <w:hideMark/>
          </w:tcPr>
          <w:p w14:paraId="2F341F71" w14:textId="77777777" w:rsidR="00577AB4" w:rsidRPr="008270B7" w:rsidRDefault="00577AB4" w:rsidP="008270B7">
            <w:pPr>
              <w:jc w:val="center"/>
              <w:rPr>
                <w:rFonts w:cs="Arial"/>
                <w:sz w:val="16"/>
                <w:szCs w:val="16"/>
                <w:lang w:val="es-CO"/>
              </w:rPr>
            </w:pPr>
            <w:r w:rsidRPr="008270B7">
              <w:rPr>
                <w:rFonts w:cs="Arial"/>
                <w:sz w:val="16"/>
                <w:szCs w:val="16"/>
                <w:lang w:val="es-CO"/>
              </w:rPr>
              <w:t>AA -</w:t>
            </w:r>
          </w:p>
        </w:tc>
        <w:tc>
          <w:tcPr>
            <w:tcW w:w="1041" w:type="dxa"/>
            <w:shd w:val="clear" w:color="auto" w:fill="auto"/>
            <w:noWrap/>
            <w:vAlign w:val="bottom"/>
            <w:hideMark/>
          </w:tcPr>
          <w:p w14:paraId="7DA6F94E"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Aa</w:t>
            </w:r>
            <w:proofErr w:type="spellEnd"/>
            <w:r w:rsidRPr="008270B7">
              <w:rPr>
                <w:rFonts w:cs="Arial"/>
                <w:sz w:val="16"/>
                <w:szCs w:val="16"/>
                <w:lang w:val="es-CO"/>
              </w:rPr>
              <w:t xml:space="preserve"> 3</w:t>
            </w:r>
          </w:p>
        </w:tc>
        <w:tc>
          <w:tcPr>
            <w:tcW w:w="993" w:type="dxa"/>
            <w:vMerge/>
            <w:vAlign w:val="center"/>
            <w:hideMark/>
          </w:tcPr>
          <w:p w14:paraId="09B71B94" w14:textId="77777777" w:rsidR="00577AB4" w:rsidRPr="008270B7" w:rsidRDefault="00577AB4" w:rsidP="008270B7">
            <w:pPr>
              <w:rPr>
                <w:rFonts w:cs="Arial"/>
                <w:sz w:val="16"/>
                <w:szCs w:val="16"/>
                <w:lang w:val="es-CO"/>
              </w:rPr>
            </w:pPr>
          </w:p>
        </w:tc>
      </w:tr>
      <w:tr w:rsidR="00577AB4" w:rsidRPr="008270B7" w14:paraId="00908144" w14:textId="77777777" w:rsidTr="00BB0A30">
        <w:trPr>
          <w:trHeight w:val="140"/>
          <w:jc w:val="center"/>
        </w:trPr>
        <w:tc>
          <w:tcPr>
            <w:tcW w:w="805" w:type="dxa"/>
            <w:vMerge/>
            <w:tcBorders>
              <w:left w:val="double" w:sz="4" w:space="0" w:color="auto"/>
            </w:tcBorders>
          </w:tcPr>
          <w:p w14:paraId="16BEA483" w14:textId="77777777" w:rsidR="00577AB4" w:rsidRPr="008270B7" w:rsidRDefault="00577AB4" w:rsidP="008270B7">
            <w:pPr>
              <w:jc w:val="center"/>
              <w:rPr>
                <w:rFonts w:cs="Arial"/>
                <w:sz w:val="16"/>
                <w:szCs w:val="16"/>
                <w:lang w:val="es-CO"/>
              </w:rPr>
            </w:pPr>
          </w:p>
        </w:tc>
        <w:tc>
          <w:tcPr>
            <w:tcW w:w="1033" w:type="dxa"/>
            <w:shd w:val="clear" w:color="auto" w:fill="auto"/>
            <w:noWrap/>
            <w:vAlign w:val="center"/>
            <w:hideMark/>
          </w:tcPr>
          <w:p w14:paraId="2AB9F01C" w14:textId="77777777" w:rsidR="00577AB4" w:rsidRPr="008270B7" w:rsidRDefault="00577AB4" w:rsidP="008270B7">
            <w:pPr>
              <w:jc w:val="center"/>
              <w:rPr>
                <w:rFonts w:cs="Arial"/>
                <w:sz w:val="16"/>
                <w:szCs w:val="16"/>
                <w:lang w:val="es-CO"/>
              </w:rPr>
            </w:pPr>
            <w:r w:rsidRPr="008270B7">
              <w:rPr>
                <w:rFonts w:cs="Arial"/>
                <w:sz w:val="16"/>
                <w:szCs w:val="16"/>
                <w:lang w:val="es-CO"/>
              </w:rPr>
              <w:t>A +</w:t>
            </w:r>
          </w:p>
        </w:tc>
        <w:tc>
          <w:tcPr>
            <w:tcW w:w="992" w:type="dxa"/>
            <w:shd w:val="clear" w:color="auto" w:fill="auto"/>
            <w:noWrap/>
            <w:vAlign w:val="center"/>
            <w:hideMark/>
          </w:tcPr>
          <w:p w14:paraId="3A3D36B1" w14:textId="77777777" w:rsidR="00577AB4" w:rsidRPr="008270B7" w:rsidRDefault="00577AB4" w:rsidP="008270B7">
            <w:pPr>
              <w:jc w:val="center"/>
              <w:rPr>
                <w:rFonts w:cs="Arial"/>
                <w:sz w:val="16"/>
                <w:szCs w:val="16"/>
                <w:lang w:val="es-CO"/>
              </w:rPr>
            </w:pPr>
            <w:r w:rsidRPr="008270B7">
              <w:rPr>
                <w:rFonts w:cs="Arial"/>
                <w:sz w:val="16"/>
                <w:szCs w:val="16"/>
                <w:lang w:val="es-CO"/>
              </w:rPr>
              <w:t>A+</w:t>
            </w:r>
          </w:p>
        </w:tc>
        <w:tc>
          <w:tcPr>
            <w:tcW w:w="1041" w:type="dxa"/>
            <w:shd w:val="clear" w:color="auto" w:fill="auto"/>
            <w:noWrap/>
            <w:vAlign w:val="center"/>
            <w:hideMark/>
          </w:tcPr>
          <w:p w14:paraId="5967F9F1" w14:textId="77777777" w:rsidR="00577AB4" w:rsidRPr="008270B7" w:rsidRDefault="00577AB4" w:rsidP="008270B7">
            <w:pPr>
              <w:jc w:val="center"/>
              <w:rPr>
                <w:rFonts w:cs="Arial"/>
                <w:sz w:val="16"/>
                <w:szCs w:val="16"/>
                <w:lang w:val="es-CO"/>
              </w:rPr>
            </w:pPr>
            <w:r w:rsidRPr="008270B7">
              <w:rPr>
                <w:rFonts w:cs="Arial"/>
                <w:sz w:val="16"/>
                <w:szCs w:val="16"/>
                <w:lang w:val="es-CO"/>
              </w:rPr>
              <w:t>A 1</w:t>
            </w:r>
          </w:p>
        </w:tc>
        <w:tc>
          <w:tcPr>
            <w:tcW w:w="993" w:type="dxa"/>
            <w:vMerge w:val="restart"/>
            <w:shd w:val="clear" w:color="auto" w:fill="auto"/>
            <w:noWrap/>
            <w:vAlign w:val="center"/>
            <w:hideMark/>
          </w:tcPr>
          <w:p w14:paraId="04EC83FF" w14:textId="77777777" w:rsidR="00577AB4" w:rsidRPr="008270B7" w:rsidRDefault="00577AB4" w:rsidP="008270B7">
            <w:pPr>
              <w:jc w:val="center"/>
              <w:rPr>
                <w:rFonts w:cs="Arial"/>
                <w:sz w:val="16"/>
                <w:szCs w:val="16"/>
                <w:lang w:val="es-CO"/>
              </w:rPr>
            </w:pPr>
            <w:r w:rsidRPr="008270B7">
              <w:rPr>
                <w:rFonts w:cs="Arial"/>
                <w:sz w:val="16"/>
                <w:szCs w:val="16"/>
                <w:lang w:val="es-CO"/>
              </w:rPr>
              <w:t xml:space="preserve"> A-</w:t>
            </w:r>
          </w:p>
        </w:tc>
      </w:tr>
      <w:tr w:rsidR="00577AB4" w:rsidRPr="008270B7" w14:paraId="41ADA369" w14:textId="77777777" w:rsidTr="00BB0A30">
        <w:trPr>
          <w:trHeight w:val="214"/>
          <w:jc w:val="center"/>
        </w:trPr>
        <w:tc>
          <w:tcPr>
            <w:tcW w:w="805" w:type="dxa"/>
            <w:vMerge/>
            <w:tcBorders>
              <w:left w:val="double" w:sz="4" w:space="0" w:color="auto"/>
            </w:tcBorders>
          </w:tcPr>
          <w:p w14:paraId="42BBC6F3" w14:textId="77777777" w:rsidR="00577AB4" w:rsidRPr="008270B7" w:rsidRDefault="00577AB4" w:rsidP="008270B7">
            <w:pPr>
              <w:jc w:val="center"/>
              <w:rPr>
                <w:rFonts w:cs="Arial"/>
                <w:sz w:val="16"/>
                <w:szCs w:val="16"/>
                <w:lang w:val="es-CO"/>
              </w:rPr>
            </w:pPr>
          </w:p>
        </w:tc>
        <w:tc>
          <w:tcPr>
            <w:tcW w:w="1033" w:type="dxa"/>
            <w:shd w:val="clear" w:color="auto" w:fill="auto"/>
            <w:noWrap/>
            <w:vAlign w:val="center"/>
            <w:hideMark/>
          </w:tcPr>
          <w:p w14:paraId="38CC296D" w14:textId="77777777" w:rsidR="00577AB4" w:rsidRPr="008270B7" w:rsidRDefault="00577AB4" w:rsidP="008270B7">
            <w:pPr>
              <w:jc w:val="center"/>
              <w:rPr>
                <w:rFonts w:cs="Arial"/>
                <w:sz w:val="16"/>
                <w:szCs w:val="16"/>
                <w:lang w:val="es-CO"/>
              </w:rPr>
            </w:pPr>
            <w:r w:rsidRPr="008270B7">
              <w:rPr>
                <w:rFonts w:cs="Arial"/>
                <w:sz w:val="16"/>
                <w:szCs w:val="16"/>
                <w:lang w:val="es-CO"/>
              </w:rPr>
              <w:t>A</w:t>
            </w:r>
          </w:p>
        </w:tc>
        <w:tc>
          <w:tcPr>
            <w:tcW w:w="992" w:type="dxa"/>
            <w:shd w:val="clear" w:color="auto" w:fill="auto"/>
            <w:noWrap/>
            <w:vAlign w:val="center"/>
            <w:hideMark/>
          </w:tcPr>
          <w:p w14:paraId="0B5E150A" w14:textId="77777777" w:rsidR="00577AB4" w:rsidRPr="008270B7" w:rsidRDefault="00577AB4" w:rsidP="008270B7">
            <w:pPr>
              <w:jc w:val="center"/>
              <w:rPr>
                <w:rFonts w:cs="Arial"/>
                <w:sz w:val="16"/>
                <w:szCs w:val="16"/>
                <w:lang w:val="es-CO"/>
              </w:rPr>
            </w:pPr>
            <w:r w:rsidRPr="008270B7">
              <w:rPr>
                <w:rFonts w:cs="Arial"/>
                <w:sz w:val="16"/>
                <w:szCs w:val="16"/>
                <w:lang w:val="es-CO"/>
              </w:rPr>
              <w:t>A</w:t>
            </w:r>
          </w:p>
        </w:tc>
        <w:tc>
          <w:tcPr>
            <w:tcW w:w="1041" w:type="dxa"/>
            <w:shd w:val="clear" w:color="auto" w:fill="auto"/>
            <w:noWrap/>
            <w:vAlign w:val="center"/>
            <w:hideMark/>
          </w:tcPr>
          <w:p w14:paraId="3359DD53" w14:textId="77777777" w:rsidR="00577AB4" w:rsidRPr="008270B7" w:rsidRDefault="00577AB4" w:rsidP="008270B7">
            <w:pPr>
              <w:jc w:val="center"/>
              <w:rPr>
                <w:rFonts w:cs="Arial"/>
                <w:sz w:val="16"/>
                <w:szCs w:val="16"/>
                <w:lang w:val="es-CO"/>
              </w:rPr>
            </w:pPr>
            <w:r w:rsidRPr="008270B7">
              <w:rPr>
                <w:rFonts w:cs="Arial"/>
                <w:sz w:val="16"/>
                <w:szCs w:val="16"/>
                <w:lang w:val="es-CO"/>
              </w:rPr>
              <w:t>A 2</w:t>
            </w:r>
          </w:p>
        </w:tc>
        <w:tc>
          <w:tcPr>
            <w:tcW w:w="993" w:type="dxa"/>
            <w:vMerge/>
            <w:shd w:val="clear" w:color="auto" w:fill="auto"/>
            <w:noWrap/>
            <w:vAlign w:val="center"/>
            <w:hideMark/>
          </w:tcPr>
          <w:p w14:paraId="198C97F0" w14:textId="77777777" w:rsidR="00577AB4" w:rsidRPr="008270B7" w:rsidRDefault="00577AB4" w:rsidP="008270B7">
            <w:pPr>
              <w:jc w:val="center"/>
              <w:rPr>
                <w:rFonts w:cs="Arial"/>
                <w:sz w:val="16"/>
                <w:szCs w:val="16"/>
                <w:lang w:val="es-CO"/>
              </w:rPr>
            </w:pPr>
          </w:p>
        </w:tc>
      </w:tr>
      <w:tr w:rsidR="00577AB4" w:rsidRPr="008270B7" w14:paraId="5ADF332A" w14:textId="77777777" w:rsidTr="00BB0A30">
        <w:trPr>
          <w:trHeight w:val="48"/>
          <w:jc w:val="center"/>
        </w:trPr>
        <w:tc>
          <w:tcPr>
            <w:tcW w:w="805" w:type="dxa"/>
            <w:vMerge/>
            <w:tcBorders>
              <w:left w:val="double" w:sz="4" w:space="0" w:color="auto"/>
            </w:tcBorders>
          </w:tcPr>
          <w:p w14:paraId="3D62C916" w14:textId="77777777" w:rsidR="00577AB4" w:rsidRPr="008270B7" w:rsidRDefault="00577AB4" w:rsidP="008270B7">
            <w:pPr>
              <w:jc w:val="center"/>
              <w:rPr>
                <w:rFonts w:cs="Arial"/>
                <w:sz w:val="16"/>
                <w:szCs w:val="16"/>
                <w:lang w:val="es-CO"/>
              </w:rPr>
            </w:pPr>
          </w:p>
        </w:tc>
        <w:tc>
          <w:tcPr>
            <w:tcW w:w="1033" w:type="dxa"/>
            <w:shd w:val="clear" w:color="auto" w:fill="auto"/>
            <w:noWrap/>
            <w:vAlign w:val="center"/>
            <w:hideMark/>
          </w:tcPr>
          <w:p w14:paraId="11C937F2" w14:textId="77777777" w:rsidR="00577AB4" w:rsidRPr="008270B7" w:rsidRDefault="00577AB4" w:rsidP="008270B7">
            <w:pPr>
              <w:jc w:val="center"/>
              <w:rPr>
                <w:rFonts w:cs="Arial"/>
                <w:sz w:val="16"/>
                <w:szCs w:val="16"/>
                <w:lang w:val="es-CO"/>
              </w:rPr>
            </w:pPr>
            <w:r w:rsidRPr="008270B7">
              <w:rPr>
                <w:rFonts w:cs="Arial"/>
                <w:sz w:val="16"/>
                <w:szCs w:val="16"/>
                <w:lang w:val="es-CO"/>
              </w:rPr>
              <w:t>A -</w:t>
            </w:r>
          </w:p>
        </w:tc>
        <w:tc>
          <w:tcPr>
            <w:tcW w:w="992" w:type="dxa"/>
            <w:shd w:val="clear" w:color="auto" w:fill="auto"/>
            <w:noWrap/>
            <w:vAlign w:val="center"/>
            <w:hideMark/>
          </w:tcPr>
          <w:p w14:paraId="6F74086B" w14:textId="77777777" w:rsidR="00577AB4" w:rsidRPr="008270B7" w:rsidRDefault="00577AB4" w:rsidP="008270B7">
            <w:pPr>
              <w:jc w:val="center"/>
              <w:rPr>
                <w:rFonts w:cs="Arial"/>
                <w:sz w:val="16"/>
                <w:szCs w:val="16"/>
                <w:lang w:val="es-CO"/>
              </w:rPr>
            </w:pPr>
            <w:r w:rsidRPr="008270B7">
              <w:rPr>
                <w:rFonts w:cs="Arial"/>
                <w:sz w:val="16"/>
                <w:szCs w:val="16"/>
                <w:lang w:val="es-CO"/>
              </w:rPr>
              <w:t>A-</w:t>
            </w:r>
          </w:p>
        </w:tc>
        <w:tc>
          <w:tcPr>
            <w:tcW w:w="1041" w:type="dxa"/>
            <w:shd w:val="clear" w:color="auto" w:fill="auto"/>
            <w:noWrap/>
            <w:vAlign w:val="center"/>
            <w:hideMark/>
          </w:tcPr>
          <w:p w14:paraId="5173D1FA" w14:textId="77777777" w:rsidR="00577AB4" w:rsidRPr="008270B7" w:rsidRDefault="00577AB4" w:rsidP="008270B7">
            <w:pPr>
              <w:jc w:val="center"/>
              <w:rPr>
                <w:rFonts w:cs="Arial"/>
                <w:sz w:val="16"/>
                <w:szCs w:val="16"/>
                <w:lang w:val="es-CO"/>
              </w:rPr>
            </w:pPr>
            <w:r w:rsidRPr="008270B7">
              <w:rPr>
                <w:rFonts w:cs="Arial"/>
                <w:sz w:val="16"/>
                <w:szCs w:val="16"/>
                <w:lang w:val="es-CO"/>
              </w:rPr>
              <w:t>A 3</w:t>
            </w:r>
          </w:p>
        </w:tc>
        <w:tc>
          <w:tcPr>
            <w:tcW w:w="993" w:type="dxa"/>
            <w:vMerge/>
            <w:vAlign w:val="center"/>
            <w:hideMark/>
          </w:tcPr>
          <w:p w14:paraId="634B4D3E" w14:textId="77777777" w:rsidR="00577AB4" w:rsidRPr="008270B7" w:rsidRDefault="00577AB4" w:rsidP="008270B7">
            <w:pPr>
              <w:rPr>
                <w:rFonts w:cs="Arial"/>
                <w:sz w:val="16"/>
                <w:szCs w:val="16"/>
                <w:lang w:val="es-CO"/>
              </w:rPr>
            </w:pPr>
          </w:p>
        </w:tc>
      </w:tr>
      <w:tr w:rsidR="00577AB4" w:rsidRPr="008270B7" w14:paraId="11EB29DD" w14:textId="77777777" w:rsidTr="00BB0A30">
        <w:trPr>
          <w:trHeight w:val="193"/>
          <w:jc w:val="center"/>
        </w:trPr>
        <w:tc>
          <w:tcPr>
            <w:tcW w:w="805" w:type="dxa"/>
            <w:vMerge/>
            <w:tcBorders>
              <w:left w:val="double" w:sz="4" w:space="0" w:color="auto"/>
            </w:tcBorders>
          </w:tcPr>
          <w:p w14:paraId="3FBAC4D3"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7B1DA213" w14:textId="77777777" w:rsidR="00577AB4" w:rsidRPr="008270B7" w:rsidRDefault="00577AB4" w:rsidP="008270B7">
            <w:pPr>
              <w:jc w:val="center"/>
              <w:rPr>
                <w:rFonts w:cs="Arial"/>
                <w:sz w:val="16"/>
                <w:szCs w:val="16"/>
                <w:lang w:val="es-CO"/>
              </w:rPr>
            </w:pPr>
            <w:r w:rsidRPr="008270B7">
              <w:rPr>
                <w:rFonts w:cs="Arial"/>
                <w:sz w:val="16"/>
                <w:szCs w:val="16"/>
                <w:lang w:val="es-CO"/>
              </w:rPr>
              <w:t>BBB +</w:t>
            </w:r>
          </w:p>
        </w:tc>
        <w:tc>
          <w:tcPr>
            <w:tcW w:w="992" w:type="dxa"/>
            <w:shd w:val="clear" w:color="auto" w:fill="auto"/>
            <w:noWrap/>
            <w:vAlign w:val="bottom"/>
            <w:hideMark/>
          </w:tcPr>
          <w:p w14:paraId="3ADFA16C" w14:textId="77777777" w:rsidR="00577AB4" w:rsidRPr="008270B7" w:rsidRDefault="00577AB4" w:rsidP="008270B7">
            <w:pPr>
              <w:jc w:val="center"/>
              <w:rPr>
                <w:rFonts w:cs="Arial"/>
                <w:sz w:val="16"/>
                <w:szCs w:val="16"/>
                <w:lang w:val="es-CO"/>
              </w:rPr>
            </w:pPr>
            <w:r w:rsidRPr="008270B7">
              <w:rPr>
                <w:rFonts w:cs="Arial"/>
                <w:sz w:val="16"/>
                <w:szCs w:val="16"/>
                <w:lang w:val="es-CO"/>
              </w:rPr>
              <w:t>BBB+</w:t>
            </w:r>
          </w:p>
        </w:tc>
        <w:tc>
          <w:tcPr>
            <w:tcW w:w="1041" w:type="dxa"/>
            <w:shd w:val="clear" w:color="auto" w:fill="auto"/>
            <w:noWrap/>
            <w:vAlign w:val="bottom"/>
            <w:hideMark/>
          </w:tcPr>
          <w:p w14:paraId="30408314"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Baa</w:t>
            </w:r>
            <w:proofErr w:type="spellEnd"/>
            <w:r w:rsidRPr="008270B7">
              <w:rPr>
                <w:rFonts w:cs="Arial"/>
                <w:sz w:val="16"/>
                <w:szCs w:val="16"/>
                <w:lang w:val="es-CO"/>
              </w:rPr>
              <w:t xml:space="preserve"> 1</w:t>
            </w:r>
          </w:p>
        </w:tc>
        <w:tc>
          <w:tcPr>
            <w:tcW w:w="993" w:type="dxa"/>
            <w:vMerge w:val="restart"/>
            <w:shd w:val="clear" w:color="auto" w:fill="auto"/>
            <w:noWrap/>
            <w:vAlign w:val="center"/>
            <w:hideMark/>
          </w:tcPr>
          <w:p w14:paraId="35F15DC0" w14:textId="77777777" w:rsidR="00577AB4" w:rsidRPr="008270B7" w:rsidRDefault="00577AB4" w:rsidP="008270B7">
            <w:pPr>
              <w:jc w:val="center"/>
              <w:rPr>
                <w:rFonts w:cs="Arial"/>
                <w:sz w:val="16"/>
                <w:szCs w:val="16"/>
                <w:lang w:val="es-CO"/>
              </w:rPr>
            </w:pPr>
            <w:r w:rsidRPr="008270B7">
              <w:rPr>
                <w:rFonts w:cs="Arial"/>
                <w:sz w:val="16"/>
                <w:szCs w:val="16"/>
                <w:lang w:val="es-CO"/>
              </w:rPr>
              <w:t>B++,</w:t>
            </w:r>
          </w:p>
          <w:p w14:paraId="07A64D2B" w14:textId="77777777" w:rsidR="00577AB4" w:rsidRPr="008270B7" w:rsidRDefault="00577AB4" w:rsidP="008270B7">
            <w:pPr>
              <w:jc w:val="center"/>
              <w:rPr>
                <w:rFonts w:cs="Arial"/>
                <w:sz w:val="16"/>
                <w:szCs w:val="16"/>
                <w:lang w:val="es-CO"/>
              </w:rPr>
            </w:pPr>
            <w:r w:rsidRPr="008270B7">
              <w:rPr>
                <w:rFonts w:cs="Arial"/>
                <w:sz w:val="16"/>
                <w:szCs w:val="16"/>
                <w:lang w:val="es-CO"/>
              </w:rPr>
              <w:t>B+</w:t>
            </w:r>
          </w:p>
        </w:tc>
      </w:tr>
      <w:tr w:rsidR="00577AB4" w:rsidRPr="008270B7" w14:paraId="7EF420EF" w14:textId="77777777" w:rsidTr="00BB0A30">
        <w:trPr>
          <w:trHeight w:val="138"/>
          <w:jc w:val="center"/>
        </w:trPr>
        <w:tc>
          <w:tcPr>
            <w:tcW w:w="805" w:type="dxa"/>
            <w:vMerge/>
            <w:tcBorders>
              <w:left w:val="double" w:sz="4" w:space="0" w:color="auto"/>
            </w:tcBorders>
          </w:tcPr>
          <w:p w14:paraId="05B1C274"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0F7D9457" w14:textId="77777777" w:rsidR="00577AB4" w:rsidRPr="008270B7" w:rsidRDefault="00577AB4" w:rsidP="008270B7">
            <w:pPr>
              <w:jc w:val="center"/>
              <w:rPr>
                <w:rFonts w:cs="Arial"/>
                <w:sz w:val="16"/>
                <w:szCs w:val="16"/>
                <w:lang w:val="es-CO"/>
              </w:rPr>
            </w:pPr>
            <w:r w:rsidRPr="008270B7">
              <w:rPr>
                <w:rFonts w:cs="Arial"/>
                <w:sz w:val="16"/>
                <w:szCs w:val="16"/>
                <w:lang w:val="es-CO"/>
              </w:rPr>
              <w:t>BBB</w:t>
            </w:r>
          </w:p>
        </w:tc>
        <w:tc>
          <w:tcPr>
            <w:tcW w:w="992" w:type="dxa"/>
            <w:shd w:val="clear" w:color="auto" w:fill="auto"/>
            <w:noWrap/>
            <w:vAlign w:val="bottom"/>
            <w:hideMark/>
          </w:tcPr>
          <w:p w14:paraId="5FB089EC" w14:textId="77777777" w:rsidR="00577AB4" w:rsidRPr="008270B7" w:rsidRDefault="00577AB4" w:rsidP="008270B7">
            <w:pPr>
              <w:jc w:val="center"/>
              <w:rPr>
                <w:rFonts w:cs="Arial"/>
                <w:sz w:val="16"/>
                <w:szCs w:val="16"/>
                <w:lang w:val="es-CO"/>
              </w:rPr>
            </w:pPr>
            <w:r w:rsidRPr="008270B7">
              <w:rPr>
                <w:rFonts w:cs="Arial"/>
                <w:sz w:val="16"/>
                <w:szCs w:val="16"/>
                <w:lang w:val="es-CO"/>
              </w:rPr>
              <w:t>BBB</w:t>
            </w:r>
          </w:p>
        </w:tc>
        <w:tc>
          <w:tcPr>
            <w:tcW w:w="1041" w:type="dxa"/>
            <w:shd w:val="clear" w:color="auto" w:fill="auto"/>
            <w:noWrap/>
            <w:vAlign w:val="bottom"/>
            <w:hideMark/>
          </w:tcPr>
          <w:p w14:paraId="12A8050B"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Baa</w:t>
            </w:r>
            <w:proofErr w:type="spellEnd"/>
            <w:r w:rsidRPr="008270B7">
              <w:rPr>
                <w:rFonts w:cs="Arial"/>
                <w:sz w:val="16"/>
                <w:szCs w:val="16"/>
                <w:lang w:val="es-CO"/>
              </w:rPr>
              <w:t xml:space="preserve"> 2</w:t>
            </w:r>
          </w:p>
        </w:tc>
        <w:tc>
          <w:tcPr>
            <w:tcW w:w="993" w:type="dxa"/>
            <w:vMerge/>
            <w:shd w:val="clear" w:color="auto" w:fill="auto"/>
            <w:noWrap/>
            <w:vAlign w:val="center"/>
            <w:hideMark/>
          </w:tcPr>
          <w:p w14:paraId="52D63676" w14:textId="77777777" w:rsidR="00577AB4" w:rsidRPr="008270B7" w:rsidRDefault="00577AB4" w:rsidP="008270B7">
            <w:pPr>
              <w:jc w:val="center"/>
              <w:rPr>
                <w:rFonts w:cs="Arial"/>
                <w:sz w:val="16"/>
                <w:szCs w:val="16"/>
                <w:lang w:val="es-CO"/>
              </w:rPr>
            </w:pPr>
          </w:p>
        </w:tc>
      </w:tr>
      <w:tr w:rsidR="00577AB4" w:rsidRPr="008270B7" w14:paraId="514B93C4" w14:textId="77777777" w:rsidTr="00BB0A30">
        <w:trPr>
          <w:trHeight w:val="70"/>
          <w:jc w:val="center"/>
        </w:trPr>
        <w:tc>
          <w:tcPr>
            <w:tcW w:w="805" w:type="dxa"/>
            <w:vMerge/>
            <w:tcBorders>
              <w:left w:val="double" w:sz="4" w:space="0" w:color="auto"/>
            </w:tcBorders>
          </w:tcPr>
          <w:p w14:paraId="76A06961" w14:textId="77777777" w:rsidR="00577AB4" w:rsidRPr="008270B7" w:rsidRDefault="00577AB4" w:rsidP="008270B7">
            <w:pPr>
              <w:jc w:val="center"/>
              <w:rPr>
                <w:rFonts w:cs="Arial"/>
                <w:sz w:val="16"/>
                <w:szCs w:val="16"/>
                <w:lang w:val="es-CO"/>
              </w:rPr>
            </w:pPr>
          </w:p>
        </w:tc>
        <w:tc>
          <w:tcPr>
            <w:tcW w:w="1033" w:type="dxa"/>
            <w:shd w:val="clear" w:color="auto" w:fill="auto"/>
            <w:noWrap/>
            <w:vAlign w:val="bottom"/>
            <w:hideMark/>
          </w:tcPr>
          <w:p w14:paraId="02F7B87C" w14:textId="77777777" w:rsidR="00577AB4" w:rsidRPr="008270B7" w:rsidRDefault="00577AB4" w:rsidP="008270B7">
            <w:pPr>
              <w:jc w:val="center"/>
              <w:rPr>
                <w:rFonts w:cs="Arial"/>
                <w:sz w:val="16"/>
                <w:szCs w:val="16"/>
                <w:lang w:val="es-CO"/>
              </w:rPr>
            </w:pPr>
            <w:r w:rsidRPr="008270B7">
              <w:rPr>
                <w:rFonts w:cs="Arial"/>
                <w:sz w:val="16"/>
                <w:szCs w:val="16"/>
                <w:lang w:val="es-CO"/>
              </w:rPr>
              <w:t>BBB -</w:t>
            </w:r>
          </w:p>
        </w:tc>
        <w:tc>
          <w:tcPr>
            <w:tcW w:w="992" w:type="dxa"/>
            <w:shd w:val="clear" w:color="auto" w:fill="auto"/>
            <w:noWrap/>
            <w:vAlign w:val="bottom"/>
            <w:hideMark/>
          </w:tcPr>
          <w:p w14:paraId="746D2577" w14:textId="77777777" w:rsidR="00577AB4" w:rsidRPr="008270B7" w:rsidRDefault="00577AB4" w:rsidP="008270B7">
            <w:pPr>
              <w:jc w:val="center"/>
              <w:rPr>
                <w:rFonts w:cs="Arial"/>
                <w:sz w:val="16"/>
                <w:szCs w:val="16"/>
                <w:lang w:val="es-CO"/>
              </w:rPr>
            </w:pPr>
            <w:r w:rsidRPr="008270B7">
              <w:rPr>
                <w:rFonts w:cs="Arial"/>
                <w:sz w:val="16"/>
                <w:szCs w:val="16"/>
                <w:lang w:val="es-CO"/>
              </w:rPr>
              <w:t>BBB-</w:t>
            </w:r>
          </w:p>
        </w:tc>
        <w:tc>
          <w:tcPr>
            <w:tcW w:w="1041" w:type="dxa"/>
            <w:shd w:val="clear" w:color="auto" w:fill="auto"/>
            <w:noWrap/>
            <w:vAlign w:val="bottom"/>
            <w:hideMark/>
          </w:tcPr>
          <w:p w14:paraId="1A433DD2" w14:textId="77777777" w:rsidR="00577AB4" w:rsidRPr="008270B7" w:rsidRDefault="00577AB4" w:rsidP="008270B7">
            <w:pPr>
              <w:jc w:val="center"/>
              <w:rPr>
                <w:rFonts w:cs="Arial"/>
                <w:sz w:val="16"/>
                <w:szCs w:val="16"/>
                <w:lang w:val="es-CO"/>
              </w:rPr>
            </w:pPr>
            <w:proofErr w:type="spellStart"/>
            <w:r w:rsidRPr="008270B7">
              <w:rPr>
                <w:rFonts w:cs="Arial"/>
                <w:sz w:val="16"/>
                <w:szCs w:val="16"/>
                <w:lang w:val="es-CO"/>
              </w:rPr>
              <w:t>Baa</w:t>
            </w:r>
            <w:proofErr w:type="spellEnd"/>
            <w:r w:rsidRPr="008270B7">
              <w:rPr>
                <w:rFonts w:cs="Arial"/>
                <w:sz w:val="16"/>
                <w:szCs w:val="16"/>
                <w:lang w:val="es-CO"/>
              </w:rPr>
              <w:t xml:space="preserve"> 3</w:t>
            </w:r>
          </w:p>
        </w:tc>
        <w:tc>
          <w:tcPr>
            <w:tcW w:w="993" w:type="dxa"/>
            <w:vMerge/>
            <w:vAlign w:val="center"/>
            <w:hideMark/>
          </w:tcPr>
          <w:p w14:paraId="20A767F3" w14:textId="77777777" w:rsidR="00577AB4" w:rsidRPr="008270B7" w:rsidRDefault="00577AB4" w:rsidP="008270B7">
            <w:pPr>
              <w:rPr>
                <w:rFonts w:cs="Arial"/>
                <w:sz w:val="16"/>
                <w:szCs w:val="16"/>
                <w:lang w:val="es-CO"/>
              </w:rPr>
            </w:pPr>
          </w:p>
        </w:tc>
      </w:tr>
    </w:tbl>
    <w:p w14:paraId="5B70B2C6" w14:textId="77777777" w:rsidR="00577AB4" w:rsidRPr="008270B7" w:rsidRDefault="00577AB4" w:rsidP="008270B7">
      <w:pPr>
        <w:jc w:val="both"/>
        <w:rPr>
          <w:rFonts w:cs="Arial"/>
          <w:sz w:val="16"/>
          <w:szCs w:val="16"/>
        </w:rPr>
      </w:pPr>
    </w:p>
    <w:p w14:paraId="0D873757" w14:textId="77777777" w:rsidR="00577AB4" w:rsidRPr="008270B7" w:rsidRDefault="00577AB4" w:rsidP="008270B7">
      <w:pPr>
        <w:jc w:val="both"/>
        <w:rPr>
          <w:rFonts w:cs="Arial"/>
          <w:sz w:val="16"/>
          <w:szCs w:val="16"/>
        </w:rPr>
      </w:pPr>
    </w:p>
    <w:p w14:paraId="1762BD2E" w14:textId="77777777" w:rsidR="00577AB4" w:rsidRPr="008270B7" w:rsidRDefault="00577AB4" w:rsidP="008270B7">
      <w:pPr>
        <w:jc w:val="both"/>
        <w:rPr>
          <w:rFonts w:cs="Arial"/>
          <w:sz w:val="16"/>
          <w:szCs w:val="16"/>
        </w:rPr>
      </w:pPr>
      <w:r w:rsidRPr="008270B7">
        <w:rPr>
          <w:rFonts w:cs="Arial"/>
          <w:sz w:val="16"/>
          <w:szCs w:val="16"/>
        </w:rPr>
        <w:t>Cuando una sociedad calificadora de riesgo no publique matrices de transición, o transcurran más de 12 meses calendario desde la última publicación, la entidad aseguradora debe identificar la calificación equivalente en las sociedades calificadoras para las que existen matrices de transición actualizadas y emplear la probabilidad de incumplimiento más alta entre dichas matrices. Para determinar la equivalencia entre calificaciones la entidad aseguradora debe emplear la tabla de equivalencias anteriormente presentada y una tabla que presente una comparación entre las calificaciones de la agencia calificadora del reasegurador y alguna de las agencias incluidas en la tabla cuando el reasegurador cuente con una calificación que proceda de una agencia calificadora distinta de las incluidas en la tabla de equivalencias.</w:t>
      </w:r>
    </w:p>
    <w:p w14:paraId="42004682" w14:textId="77777777" w:rsidR="00577AB4" w:rsidRPr="008270B7" w:rsidRDefault="00577AB4" w:rsidP="008270B7">
      <w:pPr>
        <w:jc w:val="both"/>
        <w:rPr>
          <w:rFonts w:cs="Arial"/>
          <w:sz w:val="16"/>
          <w:szCs w:val="16"/>
        </w:rPr>
      </w:pPr>
    </w:p>
    <w:p w14:paraId="1F9DB6EE" w14:textId="77777777" w:rsidR="00577AB4" w:rsidRPr="008270B7" w:rsidRDefault="00577AB4" w:rsidP="008270B7">
      <w:pPr>
        <w:jc w:val="both"/>
        <w:rPr>
          <w:rFonts w:cs="Arial"/>
          <w:sz w:val="16"/>
          <w:szCs w:val="16"/>
        </w:rPr>
      </w:pPr>
      <w:r w:rsidRPr="008270B7">
        <w:rPr>
          <w:rFonts w:cs="Arial"/>
          <w:sz w:val="16"/>
          <w:szCs w:val="16"/>
        </w:rPr>
        <w:t xml:space="preserve">Las entidades aseguradoras deben actualizar las probabilidades de incumplimiento en el cálculo del patrimonio adecuado del mes siguiente al que tengan conocimiento de la publicación de las matrices de transición. En todo caso, el plazo máximo para la actualización de las probabilidades de incumplimiento es de tres (3) meses, contados a partir de la publicación de la matriz de transición por parte de la sociedad calificadora de riesgo. </w:t>
      </w:r>
    </w:p>
    <w:p w14:paraId="007F89CD" w14:textId="77777777" w:rsidR="00577AB4" w:rsidRPr="008270B7" w:rsidRDefault="00577AB4" w:rsidP="008270B7">
      <w:pPr>
        <w:jc w:val="both"/>
        <w:rPr>
          <w:rFonts w:cs="Arial"/>
          <w:sz w:val="16"/>
          <w:szCs w:val="16"/>
        </w:rPr>
      </w:pPr>
    </w:p>
    <w:p w14:paraId="37D63FEF" w14:textId="77777777" w:rsidR="00577AB4" w:rsidRPr="008270B7" w:rsidRDefault="00577AB4" w:rsidP="008270B7">
      <w:pPr>
        <w:jc w:val="both"/>
        <w:rPr>
          <w:rFonts w:cs="Arial"/>
          <w:sz w:val="16"/>
          <w:szCs w:val="16"/>
        </w:rPr>
      </w:pPr>
      <w:r w:rsidRPr="008270B7">
        <w:rPr>
          <w:rFonts w:cs="Arial"/>
          <w:sz w:val="16"/>
          <w:szCs w:val="16"/>
        </w:rPr>
        <w:t xml:space="preserve">La entidad aseguradora debe documentar las matrices de transición empleadas en la actualización y dentro del mes siguiente a dicha actualización remitir a la SFC una comunicación en la cual notifique el cumplimiento de las instrucciones del presente </w:t>
      </w:r>
      <w:proofErr w:type="spellStart"/>
      <w:r w:rsidRPr="008270B7">
        <w:rPr>
          <w:rFonts w:cs="Arial"/>
          <w:sz w:val="16"/>
          <w:szCs w:val="16"/>
        </w:rPr>
        <w:t>subnumeral</w:t>
      </w:r>
      <w:proofErr w:type="spellEnd"/>
      <w:r w:rsidRPr="008270B7">
        <w:rPr>
          <w:rFonts w:cs="Arial"/>
          <w:sz w:val="16"/>
          <w:szCs w:val="16"/>
        </w:rPr>
        <w:t xml:space="preserve">. En la comunicación remitida a la SFC se debe señalar la fecha de publicación de las matrices de transición por parte de la sociedad calificadora y el mes a partir del cual la entidad aseguradora aplica dichas probabilidades. </w:t>
      </w:r>
    </w:p>
    <w:p w14:paraId="315F9216" w14:textId="77777777" w:rsidR="00577AB4" w:rsidRPr="008270B7" w:rsidRDefault="00577AB4" w:rsidP="008270B7">
      <w:pPr>
        <w:jc w:val="both"/>
        <w:rPr>
          <w:rFonts w:cs="Arial"/>
          <w:color w:val="000000"/>
          <w:sz w:val="16"/>
          <w:szCs w:val="16"/>
        </w:rPr>
      </w:pPr>
    </w:p>
    <w:p w14:paraId="3A742844" w14:textId="77777777" w:rsidR="00577AB4" w:rsidRPr="008270B7" w:rsidRDefault="00577AB4" w:rsidP="008270B7">
      <w:pPr>
        <w:pStyle w:val="Prrafodelista"/>
        <w:numPr>
          <w:ilvl w:val="3"/>
          <w:numId w:val="8"/>
        </w:numPr>
        <w:jc w:val="both"/>
        <w:rPr>
          <w:rFonts w:cs="Arial"/>
          <w:sz w:val="16"/>
          <w:szCs w:val="16"/>
        </w:rPr>
      </w:pPr>
      <w:r w:rsidRPr="008270B7">
        <w:rPr>
          <w:rFonts w:cs="Arial"/>
          <w:sz w:val="16"/>
          <w:szCs w:val="16"/>
        </w:rPr>
        <w:t>Riesgo de mercado</w:t>
      </w:r>
    </w:p>
    <w:p w14:paraId="15397D1E" w14:textId="77777777" w:rsidR="00577AB4" w:rsidRPr="008270B7" w:rsidRDefault="00577AB4" w:rsidP="008270B7">
      <w:pPr>
        <w:jc w:val="both"/>
        <w:rPr>
          <w:rFonts w:cs="Arial"/>
          <w:sz w:val="16"/>
          <w:szCs w:val="16"/>
        </w:rPr>
      </w:pPr>
    </w:p>
    <w:p w14:paraId="59819527" w14:textId="77777777" w:rsidR="00577AB4" w:rsidRPr="008270B7" w:rsidRDefault="00577AB4" w:rsidP="008270B7">
      <w:pPr>
        <w:jc w:val="both"/>
        <w:rPr>
          <w:rFonts w:cs="Arial"/>
          <w:sz w:val="16"/>
          <w:szCs w:val="16"/>
        </w:rPr>
      </w:pPr>
      <w:r w:rsidRPr="008270B7">
        <w:rPr>
          <w:rFonts w:cs="Arial"/>
          <w:sz w:val="16"/>
          <w:szCs w:val="16"/>
        </w:rPr>
        <w:t>La medición de la exposición al riesgo de mercado se debe realizar conforme a las instrucciones establecidas en el Capítulo XXI “Reglas Relativas al Sistema de Administración de Riesgo de Mercado” de la CBCF.</w:t>
      </w:r>
    </w:p>
    <w:p w14:paraId="5B43EE48" w14:textId="77777777" w:rsidR="00577AB4" w:rsidRPr="008270B7" w:rsidRDefault="00577AB4" w:rsidP="008270B7">
      <w:pPr>
        <w:pStyle w:val="Titulo"/>
        <w:numPr>
          <w:ilvl w:val="0"/>
          <w:numId w:val="0"/>
        </w:numPr>
        <w:rPr>
          <w:rFonts w:ascii="Arial" w:hAnsi="Arial" w:cs="Arial"/>
          <w:sz w:val="16"/>
          <w:szCs w:val="16"/>
        </w:rPr>
      </w:pPr>
    </w:p>
    <w:p w14:paraId="58191653" w14:textId="77777777" w:rsidR="00577AB4" w:rsidRPr="008270B7" w:rsidRDefault="00577AB4" w:rsidP="008270B7">
      <w:pPr>
        <w:pStyle w:val="Titulo"/>
        <w:numPr>
          <w:ilvl w:val="3"/>
          <w:numId w:val="8"/>
        </w:numPr>
        <w:jc w:val="both"/>
        <w:rPr>
          <w:rFonts w:ascii="Arial" w:hAnsi="Arial" w:cs="Arial"/>
          <w:sz w:val="16"/>
          <w:szCs w:val="16"/>
        </w:rPr>
      </w:pPr>
      <w:r w:rsidRPr="008270B7">
        <w:rPr>
          <w:rFonts w:ascii="Arial" w:hAnsi="Arial" w:cs="Arial"/>
          <w:sz w:val="16"/>
          <w:szCs w:val="16"/>
        </w:rPr>
        <w:t>Riesgo operacional</w:t>
      </w:r>
    </w:p>
    <w:p w14:paraId="557A43A5" w14:textId="77777777" w:rsidR="00577AB4" w:rsidRPr="008270B7" w:rsidRDefault="00577AB4" w:rsidP="008270B7">
      <w:pPr>
        <w:pStyle w:val="Titulo"/>
        <w:numPr>
          <w:ilvl w:val="0"/>
          <w:numId w:val="0"/>
        </w:numPr>
        <w:jc w:val="both"/>
        <w:rPr>
          <w:rFonts w:ascii="Arial" w:hAnsi="Arial" w:cs="Arial"/>
          <w:sz w:val="16"/>
          <w:szCs w:val="16"/>
        </w:rPr>
      </w:pPr>
    </w:p>
    <w:p w14:paraId="4E81F472" w14:textId="77777777" w:rsidR="00577AB4" w:rsidRPr="008270B7" w:rsidRDefault="00577AB4" w:rsidP="008270B7">
      <w:pPr>
        <w:pStyle w:val="Titulo"/>
        <w:numPr>
          <w:ilvl w:val="0"/>
          <w:numId w:val="0"/>
        </w:numPr>
        <w:jc w:val="both"/>
        <w:rPr>
          <w:rFonts w:ascii="Arial" w:hAnsi="Arial" w:cs="Arial"/>
          <w:snapToGrid w:val="0"/>
          <w:sz w:val="16"/>
          <w:szCs w:val="16"/>
          <w:lang w:val="es-MX"/>
        </w:rPr>
      </w:pPr>
      <w:r w:rsidRPr="008270B7">
        <w:rPr>
          <w:rFonts w:ascii="Arial" w:hAnsi="Arial" w:cs="Arial"/>
          <w:snapToGrid w:val="0"/>
          <w:sz w:val="16"/>
          <w:szCs w:val="16"/>
          <w:lang w:val="es-MX"/>
        </w:rPr>
        <w:t>Para el cálculo de la exposición al riesgo operacional las entidades aseguradoras que administren a través de patrimonios autónomos recursos del Fondo Nacional de Pensiones de las Entidades Territoriales –FONPET y contratos de fondos de pensiones voluntarias, deben atender lo establecido en el Capítulo 2 del Título 1 del Libro 31 de la Parte 2 del Decreto 2555 de 2010 y las siguientes instrucciones.</w:t>
      </w:r>
    </w:p>
    <w:p w14:paraId="6A8B9BA5" w14:textId="77777777" w:rsidR="00577AB4" w:rsidRPr="008270B7" w:rsidRDefault="00577AB4" w:rsidP="008270B7">
      <w:pPr>
        <w:pStyle w:val="Titulo"/>
        <w:numPr>
          <w:ilvl w:val="0"/>
          <w:numId w:val="0"/>
        </w:numPr>
        <w:ind w:left="360" w:hanging="360"/>
        <w:jc w:val="both"/>
        <w:rPr>
          <w:rFonts w:ascii="Arial" w:hAnsi="Arial" w:cs="Arial"/>
          <w:snapToGrid w:val="0"/>
          <w:sz w:val="16"/>
          <w:szCs w:val="16"/>
          <w:lang w:val="es-MX"/>
        </w:rPr>
      </w:pPr>
    </w:p>
    <w:p w14:paraId="08DEE7CE" w14:textId="77777777" w:rsidR="00577AB4" w:rsidRPr="008270B7" w:rsidRDefault="00577AB4" w:rsidP="008270B7">
      <w:pPr>
        <w:pStyle w:val="Titulo"/>
        <w:numPr>
          <w:ilvl w:val="0"/>
          <w:numId w:val="0"/>
        </w:numPr>
        <w:jc w:val="both"/>
        <w:rPr>
          <w:rFonts w:ascii="Arial" w:hAnsi="Arial" w:cs="Arial"/>
          <w:snapToGrid w:val="0"/>
          <w:sz w:val="16"/>
          <w:szCs w:val="16"/>
          <w:lang w:val="es-MX"/>
        </w:rPr>
      </w:pPr>
      <w:r w:rsidRPr="008270B7">
        <w:rPr>
          <w:rFonts w:ascii="Arial" w:hAnsi="Arial" w:cs="Arial"/>
          <w:snapToGrid w:val="0"/>
          <w:color w:val="000000"/>
          <w:sz w:val="16"/>
          <w:szCs w:val="16"/>
          <w:lang w:val="es-MX" w:eastAsia="es-CO"/>
        </w:rPr>
        <w:t xml:space="preserve">Para determinar el valor de la exposición al riesgo operacional, </w:t>
      </w:r>
      <w:r w:rsidRPr="008270B7">
        <w:rPr>
          <w:rFonts w:ascii="Arial" w:hAnsi="Arial" w:cs="Arial"/>
          <w:snapToGrid w:val="0"/>
          <w:sz w:val="16"/>
          <w:szCs w:val="16"/>
          <w:lang w:val="es-MX"/>
        </w:rPr>
        <w:t>las entidades aseguradoras deben sumar los ingresos por comisiones provenientes de la administración de activos que se realice a través de patrimonios autónomos con recursos del Fondo Nacional de Pensiones de las Entidades Territoriales –FONPET y contratos de fondos de pensiones voluntarias.</w:t>
      </w:r>
    </w:p>
    <w:p w14:paraId="6A6F7BA9" w14:textId="77777777" w:rsidR="00577AB4" w:rsidRPr="008270B7" w:rsidRDefault="00577AB4" w:rsidP="008270B7">
      <w:pPr>
        <w:pStyle w:val="Default"/>
        <w:jc w:val="both"/>
        <w:rPr>
          <w:snapToGrid w:val="0"/>
          <w:color w:val="auto"/>
          <w:sz w:val="16"/>
          <w:szCs w:val="16"/>
          <w:lang w:val="es-MX" w:eastAsia="es-ES"/>
        </w:rPr>
      </w:pPr>
    </w:p>
    <w:p w14:paraId="51E7FA94" w14:textId="77777777" w:rsidR="00577AB4" w:rsidRPr="008270B7" w:rsidRDefault="00577AB4" w:rsidP="008270B7">
      <w:pPr>
        <w:pStyle w:val="Titulo"/>
        <w:numPr>
          <w:ilvl w:val="0"/>
          <w:numId w:val="0"/>
        </w:numPr>
        <w:jc w:val="both"/>
        <w:rPr>
          <w:rFonts w:ascii="Arial" w:hAnsi="Arial" w:cs="Arial"/>
          <w:color w:val="000000"/>
          <w:sz w:val="16"/>
          <w:szCs w:val="16"/>
        </w:rPr>
      </w:pPr>
      <w:r w:rsidRPr="008270B7">
        <w:rPr>
          <w:rFonts w:ascii="Arial" w:hAnsi="Arial" w:cs="Arial"/>
          <w:color w:val="000000"/>
          <w:sz w:val="16"/>
          <w:szCs w:val="16"/>
        </w:rPr>
        <w:t>Para los nuevos administradores o para aquellos que no tengan información de los 36 meses anteriores a la fecha de cálculo, previa solicitud de la entidad o de considerarlo necesario la SFC publicará mensualmente el cociente de ingresos y gastos por comisiones de administración.</w:t>
      </w:r>
    </w:p>
    <w:p w14:paraId="4B84E717" w14:textId="77777777" w:rsidR="00577AB4" w:rsidRPr="008270B7" w:rsidRDefault="00577AB4" w:rsidP="008270B7">
      <w:pPr>
        <w:pStyle w:val="Titulo"/>
        <w:numPr>
          <w:ilvl w:val="0"/>
          <w:numId w:val="0"/>
        </w:numPr>
        <w:jc w:val="both"/>
        <w:rPr>
          <w:rFonts w:ascii="Arial" w:hAnsi="Arial" w:cs="Arial"/>
          <w:snapToGrid w:val="0"/>
          <w:sz w:val="16"/>
          <w:szCs w:val="16"/>
        </w:rPr>
      </w:pPr>
    </w:p>
    <w:p w14:paraId="44A249B4" w14:textId="77777777" w:rsidR="00577AB4" w:rsidRPr="008270B7" w:rsidRDefault="00577AB4" w:rsidP="008270B7">
      <w:pPr>
        <w:pStyle w:val="Titulo"/>
        <w:numPr>
          <w:ilvl w:val="0"/>
          <w:numId w:val="0"/>
        </w:numPr>
        <w:jc w:val="both"/>
        <w:rPr>
          <w:rFonts w:ascii="Arial" w:hAnsi="Arial" w:cs="Arial"/>
          <w:snapToGrid w:val="0"/>
          <w:sz w:val="16"/>
          <w:szCs w:val="16"/>
          <w:lang w:val="es-MX"/>
        </w:rPr>
      </w:pPr>
      <w:r w:rsidRPr="008270B7">
        <w:rPr>
          <w:rFonts w:ascii="Arial" w:hAnsi="Arial" w:cs="Arial"/>
          <w:snapToGrid w:val="0"/>
          <w:sz w:val="16"/>
          <w:szCs w:val="16"/>
          <w:lang w:val="es-MX"/>
        </w:rPr>
        <w:t>Para aquellas entidades que no tengan información para los 36 últimos meses, el cálculo del cociente de ingresos y gastos por comisiones de los contratos administrados se realizará de la siguiente manera:</w:t>
      </w:r>
    </w:p>
    <w:p w14:paraId="20F24AE5" w14:textId="77777777" w:rsidR="00577AB4" w:rsidRPr="008270B7" w:rsidRDefault="00577AB4" w:rsidP="008270B7">
      <w:pPr>
        <w:pStyle w:val="Titulo"/>
        <w:numPr>
          <w:ilvl w:val="0"/>
          <w:numId w:val="0"/>
        </w:numPr>
        <w:jc w:val="both"/>
        <w:rPr>
          <w:rFonts w:ascii="Arial" w:hAnsi="Arial" w:cs="Arial"/>
          <w:snapToGrid w:val="0"/>
          <w:sz w:val="16"/>
          <w:szCs w:val="16"/>
          <w:lang w:val="es-MX"/>
        </w:rPr>
      </w:pPr>
    </w:p>
    <w:p w14:paraId="0A2FF821" w14:textId="77777777" w:rsidR="00577AB4" w:rsidRPr="008270B7" w:rsidRDefault="00577AB4" w:rsidP="008270B7">
      <w:pPr>
        <w:jc w:val="both"/>
        <w:rPr>
          <w:rFonts w:cs="Arial"/>
          <w:sz w:val="16"/>
          <w:szCs w:val="16"/>
          <w:lang w:val="es-MX"/>
        </w:rPr>
      </w:pPr>
    </w:p>
    <w:p w14:paraId="6D4EC1A8" w14:textId="77777777" w:rsidR="00577AB4" w:rsidRPr="008270B7" w:rsidRDefault="00577AB4" w:rsidP="008270B7">
      <w:pPr>
        <w:pStyle w:val="Default"/>
        <w:jc w:val="center"/>
        <w:rPr>
          <w:snapToGrid w:val="0"/>
          <w:color w:val="auto"/>
          <w:sz w:val="16"/>
          <w:szCs w:val="16"/>
          <w:lang w:eastAsia="es-ES"/>
        </w:rPr>
      </w:pPr>
      <w:r w:rsidRPr="008270B7">
        <w:rPr>
          <w:snapToGrid w:val="0"/>
          <w:color w:val="auto"/>
          <w:sz w:val="16"/>
          <w:szCs w:val="16"/>
          <w:lang w:eastAsia="es-ES"/>
        </w:rPr>
        <w:t>CIG = PAIG / PMA</w:t>
      </w:r>
    </w:p>
    <w:p w14:paraId="016848AA" w14:textId="77777777" w:rsidR="00577AB4" w:rsidRPr="008270B7" w:rsidRDefault="00577AB4" w:rsidP="008270B7">
      <w:pPr>
        <w:pStyle w:val="Default"/>
        <w:jc w:val="both"/>
        <w:rPr>
          <w:snapToGrid w:val="0"/>
          <w:color w:val="auto"/>
          <w:sz w:val="16"/>
          <w:szCs w:val="16"/>
          <w:lang w:eastAsia="es-ES"/>
        </w:rPr>
      </w:pPr>
    </w:p>
    <w:p w14:paraId="18B85456" w14:textId="77777777" w:rsidR="00577AB4" w:rsidRPr="008270B7" w:rsidRDefault="00577AB4" w:rsidP="008270B7">
      <w:pPr>
        <w:pStyle w:val="Default"/>
        <w:jc w:val="both"/>
        <w:rPr>
          <w:snapToGrid w:val="0"/>
          <w:color w:val="auto"/>
          <w:sz w:val="16"/>
          <w:szCs w:val="16"/>
          <w:lang w:eastAsia="es-ES"/>
        </w:rPr>
      </w:pPr>
      <w:r w:rsidRPr="008270B7">
        <w:rPr>
          <w:snapToGrid w:val="0"/>
          <w:color w:val="auto"/>
          <w:sz w:val="16"/>
          <w:szCs w:val="16"/>
          <w:lang w:eastAsia="es-ES"/>
        </w:rPr>
        <w:t xml:space="preserve">Donde: </w:t>
      </w:r>
    </w:p>
    <w:p w14:paraId="72883205" w14:textId="77777777" w:rsidR="00577AB4" w:rsidRPr="008270B7" w:rsidRDefault="00577AB4" w:rsidP="008270B7">
      <w:pPr>
        <w:pStyle w:val="Default"/>
        <w:jc w:val="both"/>
        <w:rPr>
          <w:snapToGrid w:val="0"/>
          <w:color w:val="auto"/>
          <w:sz w:val="16"/>
          <w:szCs w:val="16"/>
          <w:lang w:eastAsia="es-ES"/>
        </w:rPr>
      </w:pPr>
    </w:p>
    <w:p w14:paraId="6DF3D9CB" w14:textId="77777777" w:rsidR="00577AB4" w:rsidRPr="008270B7" w:rsidRDefault="00577AB4" w:rsidP="008270B7">
      <w:pPr>
        <w:pStyle w:val="Default"/>
        <w:ind w:left="851" w:hanging="851"/>
        <w:jc w:val="both"/>
        <w:rPr>
          <w:snapToGrid w:val="0"/>
          <w:color w:val="auto"/>
          <w:sz w:val="16"/>
          <w:szCs w:val="16"/>
          <w:lang w:val="es-MX" w:eastAsia="es-ES"/>
        </w:rPr>
      </w:pPr>
      <w:r w:rsidRPr="008270B7">
        <w:rPr>
          <w:snapToGrid w:val="0"/>
          <w:color w:val="auto"/>
          <w:sz w:val="16"/>
          <w:szCs w:val="16"/>
          <w:lang w:val="es-MX" w:eastAsia="es-ES"/>
        </w:rPr>
        <w:t>CIG =</w:t>
      </w:r>
      <w:r w:rsidRPr="008270B7">
        <w:rPr>
          <w:snapToGrid w:val="0"/>
          <w:color w:val="auto"/>
          <w:sz w:val="16"/>
          <w:szCs w:val="16"/>
          <w:lang w:val="es-MX" w:eastAsia="es-ES"/>
        </w:rPr>
        <w:tab/>
        <w:t>Cociente de ingresos y gastos por comisiones de administración de operaciones.</w:t>
      </w:r>
    </w:p>
    <w:p w14:paraId="3EF73F9A" w14:textId="77777777" w:rsidR="00577AB4" w:rsidRPr="008270B7" w:rsidRDefault="00577AB4" w:rsidP="008270B7">
      <w:pPr>
        <w:pStyle w:val="Default"/>
        <w:ind w:left="851" w:hanging="851"/>
        <w:jc w:val="both"/>
        <w:rPr>
          <w:snapToGrid w:val="0"/>
          <w:color w:val="auto"/>
          <w:sz w:val="16"/>
          <w:szCs w:val="16"/>
          <w:lang w:val="es-MX" w:eastAsia="es-ES"/>
        </w:rPr>
        <w:sectPr w:rsidR="00577AB4" w:rsidRPr="008270B7" w:rsidSect="00BB0A30">
          <w:footerReference w:type="first" r:id="rId55"/>
          <w:pgSz w:w="12240" w:h="18720" w:code="257"/>
          <w:pgMar w:top="1417" w:right="1701" w:bottom="1417" w:left="1701" w:header="709" w:footer="865" w:gutter="0"/>
          <w:cols w:space="708"/>
          <w:titlePg/>
          <w:docGrid w:linePitch="360"/>
        </w:sectPr>
      </w:pPr>
    </w:p>
    <w:p w14:paraId="2E4FBE5A" w14:textId="77777777" w:rsidR="00577AB4" w:rsidRPr="008270B7" w:rsidRDefault="00577AB4" w:rsidP="008270B7">
      <w:pPr>
        <w:pStyle w:val="Default"/>
        <w:ind w:left="851" w:hanging="851"/>
        <w:jc w:val="both"/>
        <w:rPr>
          <w:snapToGrid w:val="0"/>
          <w:color w:val="auto"/>
          <w:sz w:val="16"/>
          <w:szCs w:val="16"/>
          <w:lang w:val="es-MX" w:eastAsia="es-ES"/>
        </w:rPr>
      </w:pPr>
      <w:r w:rsidRPr="008270B7">
        <w:rPr>
          <w:snapToGrid w:val="0"/>
          <w:color w:val="auto"/>
          <w:sz w:val="16"/>
          <w:szCs w:val="16"/>
          <w:lang w:val="es-MX" w:eastAsia="es-ES"/>
        </w:rPr>
        <w:lastRenderedPageBreak/>
        <w:t xml:space="preserve">PAIG </w:t>
      </w:r>
      <w:proofErr w:type="gramStart"/>
      <w:r w:rsidRPr="008270B7">
        <w:rPr>
          <w:snapToGrid w:val="0"/>
          <w:color w:val="auto"/>
          <w:sz w:val="16"/>
          <w:szCs w:val="16"/>
          <w:lang w:val="es-MX" w:eastAsia="es-ES"/>
        </w:rPr>
        <w:t xml:space="preserve">=  </w:t>
      </w:r>
      <w:r w:rsidRPr="008270B7">
        <w:rPr>
          <w:snapToGrid w:val="0"/>
          <w:color w:val="auto"/>
          <w:sz w:val="16"/>
          <w:szCs w:val="16"/>
          <w:lang w:val="es-MX" w:eastAsia="es-ES"/>
        </w:rPr>
        <w:tab/>
      </w:r>
      <w:proofErr w:type="gramEnd"/>
      <w:r w:rsidRPr="008270B7">
        <w:rPr>
          <w:snapToGrid w:val="0"/>
          <w:color w:val="auto"/>
          <w:sz w:val="16"/>
          <w:szCs w:val="16"/>
          <w:lang w:val="es-MX" w:eastAsia="es-ES"/>
        </w:rPr>
        <w:t>Promedio anual de los últimos 36 meses de los ingresos por comisiones de los contratos administrados menos los gastos por concepto de custodia de valores.</w:t>
      </w:r>
    </w:p>
    <w:p w14:paraId="44466081" w14:textId="77777777" w:rsidR="00577AB4" w:rsidRPr="008270B7" w:rsidRDefault="00577AB4" w:rsidP="008270B7">
      <w:pPr>
        <w:pStyle w:val="Default"/>
        <w:ind w:left="720" w:hanging="720"/>
        <w:jc w:val="both"/>
        <w:rPr>
          <w:snapToGrid w:val="0"/>
          <w:color w:val="auto"/>
          <w:sz w:val="16"/>
          <w:szCs w:val="16"/>
          <w:lang w:val="es-MX" w:eastAsia="es-ES"/>
        </w:rPr>
      </w:pPr>
    </w:p>
    <w:p w14:paraId="5AF11E96" w14:textId="77777777" w:rsidR="00577AB4" w:rsidRPr="008270B7" w:rsidRDefault="00577AB4" w:rsidP="008270B7">
      <w:pPr>
        <w:pStyle w:val="Default"/>
        <w:ind w:left="851" w:hanging="851"/>
        <w:jc w:val="both"/>
        <w:rPr>
          <w:snapToGrid w:val="0"/>
          <w:color w:val="auto"/>
          <w:sz w:val="16"/>
          <w:szCs w:val="16"/>
          <w:lang w:val="es-MX" w:eastAsia="es-ES"/>
        </w:rPr>
      </w:pPr>
      <w:r w:rsidRPr="008270B7">
        <w:rPr>
          <w:snapToGrid w:val="0"/>
          <w:color w:val="auto"/>
          <w:sz w:val="16"/>
          <w:szCs w:val="16"/>
          <w:lang w:val="es-MX" w:eastAsia="es-ES"/>
        </w:rPr>
        <w:t xml:space="preserve">PMA </w:t>
      </w:r>
      <w:proofErr w:type="gramStart"/>
      <w:r w:rsidRPr="008270B7">
        <w:rPr>
          <w:snapToGrid w:val="0"/>
          <w:color w:val="auto"/>
          <w:sz w:val="16"/>
          <w:szCs w:val="16"/>
          <w:lang w:val="es-MX" w:eastAsia="es-ES"/>
        </w:rPr>
        <w:t xml:space="preserve">=  </w:t>
      </w:r>
      <w:r w:rsidRPr="008270B7">
        <w:rPr>
          <w:snapToGrid w:val="0"/>
          <w:color w:val="auto"/>
          <w:sz w:val="16"/>
          <w:szCs w:val="16"/>
          <w:lang w:val="es-MX" w:eastAsia="es-ES"/>
        </w:rPr>
        <w:tab/>
      </w:r>
      <w:proofErr w:type="gramEnd"/>
      <w:r w:rsidRPr="008270B7">
        <w:rPr>
          <w:snapToGrid w:val="0"/>
          <w:color w:val="auto"/>
          <w:sz w:val="16"/>
          <w:szCs w:val="16"/>
          <w:lang w:val="es-MX" w:eastAsia="es-ES"/>
        </w:rPr>
        <w:t>Promedio mensual de los últimos 36 meses de los activos de los contratos administrados.</w:t>
      </w:r>
    </w:p>
    <w:p w14:paraId="6F2F45A5" w14:textId="77777777" w:rsidR="00577AB4" w:rsidRPr="008270B7" w:rsidRDefault="00577AB4" w:rsidP="008270B7">
      <w:pPr>
        <w:pStyle w:val="Default"/>
        <w:jc w:val="both"/>
        <w:rPr>
          <w:snapToGrid w:val="0"/>
          <w:color w:val="auto"/>
          <w:sz w:val="16"/>
          <w:szCs w:val="16"/>
          <w:lang w:val="es-MX" w:eastAsia="es-ES"/>
        </w:rPr>
      </w:pPr>
    </w:p>
    <w:p w14:paraId="038FAD07" w14:textId="77777777" w:rsidR="00577AB4" w:rsidRPr="008270B7" w:rsidRDefault="00577AB4" w:rsidP="008270B7">
      <w:pPr>
        <w:pStyle w:val="Default"/>
        <w:jc w:val="both"/>
        <w:rPr>
          <w:snapToGrid w:val="0"/>
          <w:color w:val="auto"/>
          <w:sz w:val="16"/>
          <w:szCs w:val="16"/>
          <w:lang w:val="es-MX" w:eastAsia="es-ES"/>
        </w:rPr>
      </w:pPr>
      <w:r w:rsidRPr="008270B7">
        <w:rPr>
          <w:snapToGrid w:val="0"/>
          <w:color w:val="auto"/>
          <w:sz w:val="16"/>
          <w:szCs w:val="16"/>
          <w:lang w:val="es-MX" w:eastAsia="es-ES"/>
        </w:rPr>
        <w:t xml:space="preserve">Los activos, ingresos y gastos corresponden a los reportados por los administradores en los últimos 36 meses. </w:t>
      </w:r>
    </w:p>
    <w:p w14:paraId="39ED902E" w14:textId="77777777" w:rsidR="00577AB4" w:rsidRPr="008270B7" w:rsidRDefault="00577AB4" w:rsidP="008270B7">
      <w:pPr>
        <w:pStyle w:val="Default"/>
        <w:jc w:val="both"/>
        <w:rPr>
          <w:snapToGrid w:val="0"/>
          <w:color w:val="auto"/>
          <w:sz w:val="16"/>
          <w:szCs w:val="16"/>
          <w:lang w:val="es-MX" w:eastAsia="es-ES"/>
        </w:rPr>
      </w:pPr>
    </w:p>
    <w:p w14:paraId="69C0F5BF" w14:textId="77777777" w:rsidR="00577AB4" w:rsidRPr="008270B7" w:rsidRDefault="00577AB4" w:rsidP="008270B7">
      <w:pPr>
        <w:pStyle w:val="Default"/>
        <w:jc w:val="both"/>
        <w:rPr>
          <w:snapToGrid w:val="0"/>
          <w:color w:val="auto"/>
          <w:sz w:val="16"/>
          <w:szCs w:val="16"/>
          <w:lang w:val="es-MX" w:eastAsia="es-ES"/>
        </w:rPr>
      </w:pPr>
      <w:r w:rsidRPr="008270B7">
        <w:rPr>
          <w:snapToGrid w:val="0"/>
          <w:color w:val="auto"/>
          <w:sz w:val="16"/>
          <w:szCs w:val="16"/>
          <w:lang w:val="es-MX" w:eastAsia="es-ES"/>
        </w:rPr>
        <w:t>El cociente de ingresos y gastos por comisiones de administración de operaciones (CIG) será calculado respecto de cada actividad o tipo de contrato, independientemente de la entidad que lo realice.</w:t>
      </w:r>
    </w:p>
    <w:p w14:paraId="2AA093B4" w14:textId="77777777" w:rsidR="00577AB4" w:rsidRPr="008270B7" w:rsidRDefault="00577AB4" w:rsidP="008270B7">
      <w:pPr>
        <w:jc w:val="both"/>
        <w:rPr>
          <w:rFonts w:cs="Arial"/>
          <w:sz w:val="16"/>
          <w:szCs w:val="16"/>
        </w:rPr>
      </w:pPr>
    </w:p>
    <w:p w14:paraId="6D4F28C5" w14:textId="77777777" w:rsidR="00577AB4" w:rsidRPr="008270B7" w:rsidRDefault="00577AB4" w:rsidP="008270B7">
      <w:pPr>
        <w:pStyle w:val="Prrafodelista"/>
        <w:numPr>
          <w:ilvl w:val="2"/>
          <w:numId w:val="8"/>
        </w:numPr>
        <w:jc w:val="both"/>
        <w:rPr>
          <w:rFonts w:cs="Arial"/>
          <w:sz w:val="16"/>
          <w:szCs w:val="16"/>
        </w:rPr>
      </w:pPr>
      <w:bookmarkStart w:id="11" w:name="_Hlk36142500"/>
      <w:r w:rsidRPr="008270B7">
        <w:rPr>
          <w:rFonts w:cs="Arial"/>
          <w:sz w:val="16"/>
          <w:szCs w:val="16"/>
        </w:rPr>
        <w:t>Planes de ajuste</w:t>
      </w:r>
    </w:p>
    <w:p w14:paraId="10DBF93E" w14:textId="77777777" w:rsidR="00577AB4" w:rsidRPr="008270B7" w:rsidRDefault="00577AB4" w:rsidP="008270B7">
      <w:pPr>
        <w:jc w:val="both"/>
        <w:rPr>
          <w:rFonts w:cs="Arial"/>
          <w:sz w:val="16"/>
          <w:szCs w:val="16"/>
        </w:rPr>
      </w:pPr>
    </w:p>
    <w:p w14:paraId="61F573BF" w14:textId="77777777" w:rsidR="00577AB4" w:rsidRPr="008270B7" w:rsidRDefault="00577AB4" w:rsidP="008270B7">
      <w:pPr>
        <w:jc w:val="both"/>
        <w:rPr>
          <w:rFonts w:cs="Arial"/>
          <w:sz w:val="16"/>
          <w:szCs w:val="16"/>
        </w:rPr>
      </w:pPr>
      <w:r w:rsidRPr="008270B7">
        <w:rPr>
          <w:rFonts w:cs="Arial"/>
          <w:sz w:val="16"/>
          <w:szCs w:val="16"/>
        </w:rPr>
        <w:t xml:space="preserve">Cuando una entidad aseguradora prevea que va a incurrir o presente defectos en el régimen de patrimonio adecuado debe, de manera inmediata, establecer y enviar a la SFC el plan de ajuste anexando la documentación en la cual conste que se ha informado a los accionistas o asociados. Lo anterior sin perjuicio de otras medidas que pueda tomar la SFC en desarrollo de sus facultades. </w:t>
      </w:r>
    </w:p>
    <w:p w14:paraId="20665761" w14:textId="77777777" w:rsidR="00577AB4" w:rsidRPr="008270B7" w:rsidRDefault="00577AB4" w:rsidP="008270B7">
      <w:pPr>
        <w:jc w:val="both"/>
        <w:rPr>
          <w:rFonts w:cs="Arial"/>
          <w:sz w:val="16"/>
          <w:szCs w:val="16"/>
        </w:rPr>
      </w:pPr>
    </w:p>
    <w:p w14:paraId="1132FAC9" w14:textId="77777777" w:rsidR="00577AB4" w:rsidRPr="008270B7" w:rsidRDefault="00577AB4" w:rsidP="008270B7">
      <w:pPr>
        <w:jc w:val="both"/>
        <w:rPr>
          <w:rFonts w:cs="Arial"/>
          <w:sz w:val="16"/>
          <w:szCs w:val="16"/>
        </w:rPr>
      </w:pPr>
      <w:r w:rsidRPr="008270B7">
        <w:rPr>
          <w:rFonts w:cs="Arial"/>
          <w:sz w:val="16"/>
          <w:szCs w:val="16"/>
        </w:rPr>
        <w:t>El documento mediante el cual se presente el plan de ajuste debe contener como mínimo la siguiente información:</w:t>
      </w:r>
    </w:p>
    <w:p w14:paraId="6BCB9CA0" w14:textId="77777777" w:rsidR="00577AB4" w:rsidRPr="008270B7" w:rsidRDefault="00577AB4" w:rsidP="008270B7">
      <w:pPr>
        <w:jc w:val="both"/>
        <w:rPr>
          <w:rFonts w:cs="Arial"/>
          <w:sz w:val="16"/>
          <w:szCs w:val="16"/>
        </w:rPr>
      </w:pPr>
    </w:p>
    <w:p w14:paraId="7D449B62" w14:textId="77777777" w:rsidR="00577AB4" w:rsidRPr="008270B7" w:rsidRDefault="00577AB4" w:rsidP="008270B7">
      <w:pPr>
        <w:pStyle w:val="Prrafodelista"/>
        <w:numPr>
          <w:ilvl w:val="3"/>
          <w:numId w:val="7"/>
        </w:numPr>
        <w:ind w:left="0" w:firstLine="0"/>
        <w:jc w:val="both"/>
        <w:rPr>
          <w:rFonts w:cs="Arial"/>
          <w:sz w:val="16"/>
          <w:szCs w:val="16"/>
        </w:rPr>
      </w:pPr>
      <w:r w:rsidRPr="008270B7">
        <w:rPr>
          <w:rFonts w:cs="Arial"/>
          <w:sz w:val="16"/>
          <w:szCs w:val="16"/>
        </w:rPr>
        <w:t xml:space="preserve">Las explicaciones sobre los motivos que originaron u originarán el defecto respectivo, con un estudio fundamentado de análisis financiero en el que se evalúen las principales variaciones de aquellos elementos del capital y de los estados financieros en donde se causen los mayores cambios por cuyo motivo se presenta o se espera que se presente el defecto. </w:t>
      </w:r>
    </w:p>
    <w:p w14:paraId="4C0A0925" w14:textId="77777777" w:rsidR="00577AB4" w:rsidRPr="008270B7" w:rsidRDefault="00577AB4" w:rsidP="008270B7">
      <w:pPr>
        <w:jc w:val="both"/>
        <w:rPr>
          <w:rFonts w:cs="Arial"/>
          <w:sz w:val="16"/>
          <w:szCs w:val="16"/>
        </w:rPr>
      </w:pPr>
    </w:p>
    <w:p w14:paraId="380DA4BD" w14:textId="77777777" w:rsidR="00577AB4" w:rsidRPr="008270B7" w:rsidRDefault="00577AB4" w:rsidP="008270B7">
      <w:pPr>
        <w:pStyle w:val="Prrafodelista"/>
        <w:numPr>
          <w:ilvl w:val="3"/>
          <w:numId w:val="7"/>
        </w:numPr>
        <w:ind w:left="0" w:firstLine="0"/>
        <w:jc w:val="both"/>
        <w:rPr>
          <w:rFonts w:cs="Arial"/>
          <w:sz w:val="16"/>
          <w:szCs w:val="16"/>
        </w:rPr>
      </w:pPr>
      <w:r w:rsidRPr="008270B7">
        <w:rPr>
          <w:rFonts w:cs="Arial"/>
          <w:sz w:val="16"/>
          <w:szCs w:val="16"/>
        </w:rPr>
        <w:t xml:space="preserve">Un plan de actividades que, partiendo del anterior diagnóstico, permita establecer objetivos, metas de cumplimiento y estrategias de corto plazo para ajustarse. El plan de ajuste deberá determinar de manera exacta, oportuna y cuantificable, proyectos específicos en materia de crecimiento o de la distribución del total de activos o de determinadas categorías de ellos, obligaciones de enajenación de inversiones, incrementos patrimoniales, o cualquier otro aspecto que permita evitar o resolver a la mayor brevedad posible el incumplimiento del régimen de patrimonio adecuado. </w:t>
      </w:r>
    </w:p>
    <w:p w14:paraId="7E75A765" w14:textId="77777777" w:rsidR="00577AB4" w:rsidRPr="008270B7" w:rsidRDefault="00577AB4" w:rsidP="008270B7">
      <w:pPr>
        <w:pStyle w:val="Prrafodelista"/>
        <w:ind w:left="0"/>
        <w:jc w:val="both"/>
        <w:rPr>
          <w:rFonts w:cs="Arial"/>
          <w:sz w:val="16"/>
          <w:szCs w:val="16"/>
        </w:rPr>
      </w:pPr>
    </w:p>
    <w:p w14:paraId="02A3CB80" w14:textId="77777777" w:rsidR="00577AB4" w:rsidRPr="008270B7" w:rsidRDefault="00577AB4" w:rsidP="008270B7">
      <w:pPr>
        <w:pStyle w:val="Prrafodelista"/>
        <w:numPr>
          <w:ilvl w:val="3"/>
          <w:numId w:val="7"/>
        </w:numPr>
        <w:ind w:left="0" w:firstLine="0"/>
        <w:jc w:val="both"/>
        <w:rPr>
          <w:rFonts w:cs="Arial"/>
          <w:sz w:val="16"/>
          <w:szCs w:val="16"/>
        </w:rPr>
      </w:pPr>
      <w:r w:rsidRPr="008270B7">
        <w:rPr>
          <w:rFonts w:cs="Arial"/>
          <w:sz w:val="16"/>
          <w:szCs w:val="16"/>
        </w:rPr>
        <w:t>Un cronograma para el cumplimiento y desarrollo del plan de ajuste, que permita identificar de manera específica todas y cada una de las metas a cumplir en el término establecido para tal fin.</w:t>
      </w:r>
    </w:p>
    <w:p w14:paraId="60C2A013" w14:textId="77777777" w:rsidR="00577AB4" w:rsidRPr="008270B7" w:rsidRDefault="00577AB4" w:rsidP="008270B7">
      <w:pPr>
        <w:jc w:val="both"/>
        <w:rPr>
          <w:rFonts w:cs="Arial"/>
          <w:sz w:val="16"/>
          <w:szCs w:val="16"/>
        </w:rPr>
      </w:pPr>
    </w:p>
    <w:p w14:paraId="2583EA0C" w14:textId="77777777" w:rsidR="00577AB4" w:rsidRPr="008270B7" w:rsidRDefault="00577AB4" w:rsidP="008270B7">
      <w:pPr>
        <w:jc w:val="both"/>
        <w:rPr>
          <w:rFonts w:cs="Arial"/>
          <w:sz w:val="16"/>
          <w:szCs w:val="16"/>
        </w:rPr>
      </w:pPr>
      <w:r w:rsidRPr="008270B7">
        <w:rPr>
          <w:rFonts w:cs="Arial"/>
          <w:sz w:val="16"/>
          <w:szCs w:val="16"/>
        </w:rPr>
        <w:t>En todo caso, el plan de ajuste que se presente a consideración de la SFC no puede tener previsto un período de implementación superior a un año, contado a partir de la fecha de su aprobación por parte de la SFC.</w:t>
      </w:r>
    </w:p>
    <w:p w14:paraId="50B6A37A" w14:textId="77777777" w:rsidR="00577AB4" w:rsidRPr="008270B7" w:rsidRDefault="00577AB4" w:rsidP="008270B7">
      <w:pPr>
        <w:jc w:val="both"/>
        <w:rPr>
          <w:rFonts w:cs="Arial"/>
          <w:sz w:val="16"/>
          <w:szCs w:val="16"/>
        </w:rPr>
      </w:pPr>
    </w:p>
    <w:p w14:paraId="09AA665A" w14:textId="77777777" w:rsidR="00577AB4" w:rsidRPr="008270B7" w:rsidRDefault="00577AB4" w:rsidP="008270B7">
      <w:pPr>
        <w:jc w:val="both"/>
        <w:rPr>
          <w:rFonts w:cs="Arial"/>
          <w:sz w:val="16"/>
          <w:szCs w:val="16"/>
        </w:rPr>
      </w:pPr>
      <w:r w:rsidRPr="008270B7">
        <w:rPr>
          <w:rFonts w:cs="Arial"/>
          <w:sz w:val="16"/>
          <w:szCs w:val="16"/>
        </w:rPr>
        <w:t>Cuando los defectos mensuales se originen como consecuencia de eventos catastróficos las entidades aseguradoras convendrán un plan de ajuste con la SFC cuyo plazo no podrá superar noventa (90) días.</w:t>
      </w:r>
    </w:p>
    <w:p w14:paraId="692534CE" w14:textId="77777777" w:rsidR="00577AB4" w:rsidRPr="008270B7" w:rsidRDefault="00577AB4" w:rsidP="008270B7">
      <w:pPr>
        <w:jc w:val="both"/>
        <w:rPr>
          <w:rFonts w:cs="Arial"/>
          <w:sz w:val="16"/>
          <w:szCs w:val="16"/>
        </w:rPr>
      </w:pPr>
    </w:p>
    <w:p w14:paraId="53679FD2" w14:textId="77777777" w:rsidR="00577AB4" w:rsidRPr="008270B7" w:rsidRDefault="00577AB4" w:rsidP="008270B7">
      <w:pPr>
        <w:jc w:val="both"/>
        <w:rPr>
          <w:rFonts w:cs="Arial"/>
          <w:sz w:val="16"/>
          <w:szCs w:val="16"/>
        </w:rPr>
      </w:pPr>
      <w:r w:rsidRPr="008270B7">
        <w:rPr>
          <w:rFonts w:cs="Arial"/>
          <w:sz w:val="16"/>
          <w:szCs w:val="16"/>
        </w:rPr>
        <w:t>Lo anterior sin perjuicio de las medidas de supervisión que considere apropiadas la SFC.</w:t>
      </w:r>
    </w:p>
    <w:p w14:paraId="496B2516" w14:textId="77777777" w:rsidR="00577AB4" w:rsidRPr="008270B7" w:rsidRDefault="00577AB4" w:rsidP="008270B7">
      <w:pPr>
        <w:jc w:val="both"/>
        <w:rPr>
          <w:rFonts w:cs="Arial"/>
          <w:sz w:val="16"/>
          <w:szCs w:val="16"/>
        </w:rPr>
      </w:pPr>
    </w:p>
    <w:p w14:paraId="32B69B7F" w14:textId="2499EA78" w:rsidR="00577AB4" w:rsidRPr="00ED35ED" w:rsidRDefault="00577AB4" w:rsidP="008270B7">
      <w:pPr>
        <w:jc w:val="both"/>
        <w:rPr>
          <w:rFonts w:cs="Arial"/>
          <w:sz w:val="16"/>
          <w:szCs w:val="16"/>
        </w:rPr>
      </w:pPr>
      <w:r w:rsidRPr="008270B7">
        <w:rPr>
          <w:rFonts w:cs="Arial"/>
          <w:sz w:val="16"/>
          <w:szCs w:val="16"/>
        </w:rPr>
        <w:t>En todo caso y conforme a los criterios señalados en el artículo 2.31.1.2.1 y las instrucciones del artículo 2.31.1.2.12 del Decreto 2555 de 2010, cuando se presente el mencionado incumplimiento del régimen de patrimonio adecuado y hasta tanto no se complete el plan de ajuste, la entidad aseguradora tendrá las siguientes limitaciones: 1) la distribución de utilidades o excedentes, liberación de reservas, reducción del capital social, y en general, cualquier posibilidad de afectación de recursos por voluntad de la administración que conlleve una reducción en su patrimonio; y 2) la suspensión temporal del pago de dividendos, recompra de acciones, bonificaciones a empleados o cualquier otro programa de pagos discrecionales, de incentivos o erogaciones no ordinarias a partes relacionadas.</w:t>
      </w:r>
      <w:bookmarkEnd w:id="11"/>
    </w:p>
    <w:p w14:paraId="22782870" w14:textId="77777777" w:rsidR="00577AB4" w:rsidRPr="008270B7" w:rsidRDefault="00577AB4" w:rsidP="008270B7">
      <w:pPr>
        <w:jc w:val="both"/>
        <w:rPr>
          <w:rFonts w:cs="Arial"/>
          <w:color w:val="000000"/>
          <w:sz w:val="16"/>
          <w:szCs w:val="16"/>
        </w:rPr>
      </w:pPr>
    </w:p>
    <w:p w14:paraId="76B4073B" w14:textId="77777777" w:rsidR="00577AB4" w:rsidRPr="008270B7" w:rsidRDefault="00577AB4" w:rsidP="008270B7">
      <w:pPr>
        <w:pStyle w:val="Ttulo2"/>
        <w:jc w:val="both"/>
        <w:rPr>
          <w:b w:val="0"/>
          <w:bCs w:val="0"/>
          <w:szCs w:val="16"/>
        </w:rPr>
      </w:pPr>
      <w:bookmarkStart w:id="12" w:name="_Toc269950164"/>
      <w:r w:rsidRPr="008270B7">
        <w:rPr>
          <w:b w:val="0"/>
          <w:bCs w:val="0"/>
          <w:szCs w:val="16"/>
        </w:rPr>
        <w:t>2.2. Reglas sobre el régimen de reservas técnicas y su inversión</w:t>
      </w:r>
      <w:bookmarkEnd w:id="12"/>
    </w:p>
    <w:p w14:paraId="73866BA0" w14:textId="77777777" w:rsidR="00577AB4" w:rsidRPr="008270B7" w:rsidRDefault="00577AB4" w:rsidP="008270B7">
      <w:pPr>
        <w:tabs>
          <w:tab w:val="left" w:pos="720"/>
        </w:tabs>
        <w:jc w:val="both"/>
        <w:rPr>
          <w:rFonts w:cs="Arial"/>
          <w:sz w:val="16"/>
          <w:szCs w:val="16"/>
        </w:rPr>
      </w:pPr>
    </w:p>
    <w:p w14:paraId="06DBC972" w14:textId="77777777" w:rsidR="00577AB4" w:rsidRPr="008270B7" w:rsidRDefault="00577AB4" w:rsidP="008270B7">
      <w:pPr>
        <w:tabs>
          <w:tab w:val="left" w:pos="720"/>
        </w:tabs>
        <w:jc w:val="both"/>
        <w:rPr>
          <w:rFonts w:cs="Arial"/>
          <w:sz w:val="16"/>
          <w:szCs w:val="16"/>
        </w:rPr>
      </w:pPr>
      <w:r w:rsidRPr="008270B7">
        <w:rPr>
          <w:rFonts w:cs="Arial"/>
          <w:sz w:val="16"/>
          <w:szCs w:val="16"/>
        </w:rPr>
        <w:t xml:space="preserve">2.2.1. Reglas sobre reservas técnicas </w:t>
      </w:r>
    </w:p>
    <w:p w14:paraId="38CBD8AE" w14:textId="77777777" w:rsidR="00577AB4" w:rsidRPr="008270B7" w:rsidRDefault="00577AB4" w:rsidP="008270B7">
      <w:pPr>
        <w:tabs>
          <w:tab w:val="left" w:pos="720"/>
        </w:tabs>
        <w:jc w:val="both"/>
        <w:rPr>
          <w:rFonts w:cs="Arial"/>
          <w:sz w:val="16"/>
          <w:szCs w:val="16"/>
        </w:rPr>
      </w:pPr>
    </w:p>
    <w:p w14:paraId="7F4462E0" w14:textId="77777777" w:rsidR="00577AB4" w:rsidRPr="008270B7" w:rsidRDefault="00577AB4" w:rsidP="008270B7">
      <w:pPr>
        <w:tabs>
          <w:tab w:val="left" w:pos="720"/>
        </w:tabs>
        <w:jc w:val="both"/>
        <w:rPr>
          <w:rFonts w:cs="Arial"/>
          <w:sz w:val="16"/>
          <w:szCs w:val="16"/>
        </w:rPr>
      </w:pPr>
      <w:r w:rsidRPr="008270B7">
        <w:rPr>
          <w:rFonts w:cs="Arial"/>
          <w:sz w:val="16"/>
          <w:szCs w:val="16"/>
        </w:rPr>
        <w:t>2.2.1.1. Control de reservas de siniestros</w:t>
      </w:r>
    </w:p>
    <w:p w14:paraId="7D921924" w14:textId="77777777" w:rsidR="00577AB4" w:rsidRPr="008270B7" w:rsidRDefault="00577AB4" w:rsidP="008270B7">
      <w:pPr>
        <w:tabs>
          <w:tab w:val="left" w:pos="720"/>
        </w:tabs>
        <w:jc w:val="both"/>
        <w:rPr>
          <w:rFonts w:cs="Arial"/>
          <w:sz w:val="16"/>
          <w:szCs w:val="16"/>
        </w:rPr>
      </w:pPr>
    </w:p>
    <w:p w14:paraId="68DB7E53" w14:textId="77777777" w:rsidR="00577AB4" w:rsidRPr="008270B7" w:rsidRDefault="00577AB4" w:rsidP="008270B7">
      <w:pPr>
        <w:tabs>
          <w:tab w:val="left" w:pos="720"/>
        </w:tabs>
        <w:jc w:val="both"/>
        <w:rPr>
          <w:rFonts w:cs="Arial"/>
          <w:sz w:val="16"/>
          <w:szCs w:val="16"/>
        </w:rPr>
      </w:pPr>
      <w:r w:rsidRPr="008270B7">
        <w:rPr>
          <w:rFonts w:cs="Arial"/>
          <w:sz w:val="16"/>
          <w:szCs w:val="16"/>
        </w:rPr>
        <w:t>Las entidades aseguradoras deben contar con un libro auxiliar en el cual se asienten los datos que soporten los movimientos de la reserva de siniestros y el registro contable del respectivo pasivo. Dicho libro debe ser llevado en forma sistematizada, pudiéndose llevar un libro por cada ramo, área de la entidad o sucursal, aunque siempre de forma centralizada.</w:t>
      </w:r>
    </w:p>
    <w:p w14:paraId="478A26EB" w14:textId="77777777" w:rsidR="00577AB4" w:rsidRPr="008270B7" w:rsidRDefault="00577AB4" w:rsidP="008270B7">
      <w:pPr>
        <w:tabs>
          <w:tab w:val="left" w:pos="720"/>
        </w:tabs>
        <w:jc w:val="both"/>
        <w:rPr>
          <w:rFonts w:cs="Arial"/>
          <w:sz w:val="16"/>
          <w:szCs w:val="16"/>
        </w:rPr>
      </w:pPr>
    </w:p>
    <w:p w14:paraId="1A03ED60" w14:textId="77777777" w:rsidR="00577AB4" w:rsidRPr="008270B7" w:rsidRDefault="00577AB4" w:rsidP="008270B7">
      <w:pPr>
        <w:tabs>
          <w:tab w:val="left" w:pos="720"/>
        </w:tabs>
        <w:jc w:val="both"/>
        <w:rPr>
          <w:rFonts w:cs="Arial"/>
          <w:sz w:val="16"/>
          <w:szCs w:val="16"/>
        </w:rPr>
      </w:pPr>
      <w:r w:rsidRPr="008270B7">
        <w:rPr>
          <w:rFonts w:cs="Arial"/>
          <w:sz w:val="16"/>
          <w:szCs w:val="16"/>
        </w:rPr>
        <w:t>En todo caso, la entidad aseguradora debe mantener a disposición de la SFC la siguiente información mínima extraída de dicho libro:</w:t>
      </w:r>
    </w:p>
    <w:p w14:paraId="23B633D9" w14:textId="77777777" w:rsidR="00577AB4" w:rsidRPr="008270B7" w:rsidRDefault="00577AB4" w:rsidP="008270B7">
      <w:pPr>
        <w:tabs>
          <w:tab w:val="left" w:pos="720"/>
        </w:tabs>
        <w:autoSpaceDE w:val="0"/>
        <w:autoSpaceDN w:val="0"/>
        <w:adjustRightInd w:val="0"/>
        <w:jc w:val="both"/>
        <w:rPr>
          <w:rFonts w:cs="Arial"/>
          <w:sz w:val="16"/>
          <w:szCs w:val="16"/>
          <w:lang w:val="es-CO"/>
        </w:rPr>
      </w:pPr>
    </w:p>
    <w:p w14:paraId="1FEFD99C" w14:textId="77777777" w:rsidR="00577AB4" w:rsidRPr="008270B7" w:rsidRDefault="00577AB4"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 Número de la póliza, o del contrato si se trata de un negocio aceptado.</w:t>
      </w:r>
    </w:p>
    <w:p w14:paraId="4F7BFDFA" w14:textId="77777777" w:rsidR="00577AB4" w:rsidRPr="008270B7" w:rsidRDefault="00577AB4" w:rsidP="008270B7">
      <w:pPr>
        <w:tabs>
          <w:tab w:val="left" w:pos="720"/>
        </w:tabs>
        <w:autoSpaceDE w:val="0"/>
        <w:autoSpaceDN w:val="0"/>
        <w:adjustRightInd w:val="0"/>
        <w:jc w:val="both"/>
        <w:rPr>
          <w:rFonts w:cs="Arial"/>
          <w:sz w:val="16"/>
          <w:szCs w:val="16"/>
          <w:lang w:val="es-CO"/>
        </w:rPr>
      </w:pPr>
    </w:p>
    <w:p w14:paraId="62CB4486" w14:textId="77777777" w:rsidR="00577AB4" w:rsidRPr="008270B7" w:rsidRDefault="00577AB4"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2.2.1.1.2. Número de radicación del siniestro.</w:t>
      </w:r>
    </w:p>
    <w:p w14:paraId="2B10A751" w14:textId="77777777" w:rsidR="00577AB4" w:rsidRPr="008270B7" w:rsidRDefault="00577AB4" w:rsidP="008270B7">
      <w:pPr>
        <w:tabs>
          <w:tab w:val="left" w:pos="720"/>
        </w:tabs>
        <w:autoSpaceDE w:val="0"/>
        <w:autoSpaceDN w:val="0"/>
        <w:adjustRightInd w:val="0"/>
        <w:jc w:val="both"/>
        <w:rPr>
          <w:rFonts w:cs="Arial"/>
          <w:sz w:val="16"/>
          <w:szCs w:val="16"/>
          <w:lang w:val="es-CO"/>
        </w:rPr>
      </w:pPr>
    </w:p>
    <w:p w14:paraId="38EF91B6" w14:textId="77777777" w:rsidR="00577AB4" w:rsidRPr="008270B7" w:rsidRDefault="00577AB4"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 xml:space="preserve">2.2.1.1.3. Ramo(s) de la póliza o del contrato. Para este efecto se debe utilizar el número del código de los ramos, establecido en el </w:t>
      </w:r>
      <w:proofErr w:type="spellStart"/>
      <w:r w:rsidRPr="008270B7">
        <w:rPr>
          <w:rFonts w:cs="Arial"/>
          <w:sz w:val="16"/>
          <w:szCs w:val="16"/>
          <w:lang w:val="es-CO"/>
        </w:rPr>
        <w:t>subnumeral</w:t>
      </w:r>
      <w:proofErr w:type="spellEnd"/>
      <w:r w:rsidRPr="008270B7">
        <w:rPr>
          <w:rFonts w:cs="Arial"/>
          <w:sz w:val="16"/>
          <w:szCs w:val="16"/>
          <w:lang w:val="es-CO"/>
        </w:rPr>
        <w:t xml:space="preserve"> 1.1. del presente Capítulo.</w:t>
      </w:r>
    </w:p>
    <w:p w14:paraId="59B5D14D" w14:textId="77777777" w:rsidR="00577AB4" w:rsidRPr="008270B7" w:rsidRDefault="00577AB4" w:rsidP="008270B7">
      <w:pPr>
        <w:rPr>
          <w:rFonts w:cs="Arial"/>
          <w:sz w:val="16"/>
          <w:szCs w:val="16"/>
          <w:lang w:val="es-CO"/>
        </w:rPr>
      </w:pPr>
    </w:p>
    <w:p w14:paraId="2F2B5D2D" w14:textId="77777777" w:rsidR="00577AB4" w:rsidRPr="008270B7" w:rsidRDefault="00577AB4" w:rsidP="008270B7">
      <w:pPr>
        <w:rPr>
          <w:rFonts w:cs="Arial"/>
          <w:sz w:val="16"/>
          <w:szCs w:val="16"/>
          <w:lang w:val="es-CO"/>
        </w:rPr>
      </w:pPr>
    </w:p>
    <w:p w14:paraId="2DA257E6" w14:textId="77777777" w:rsidR="00577AB4" w:rsidRPr="008270B7" w:rsidRDefault="00577AB4" w:rsidP="008270B7">
      <w:pPr>
        <w:rPr>
          <w:rFonts w:cs="Arial"/>
          <w:sz w:val="16"/>
          <w:szCs w:val="16"/>
          <w:lang w:val="es-CO"/>
        </w:rPr>
      </w:pPr>
    </w:p>
    <w:p w14:paraId="4812D025" w14:textId="77777777" w:rsidR="00577AB4" w:rsidRPr="008270B7" w:rsidRDefault="00577AB4" w:rsidP="008270B7">
      <w:pPr>
        <w:rPr>
          <w:rFonts w:cs="Arial"/>
          <w:sz w:val="16"/>
          <w:szCs w:val="16"/>
          <w:lang w:val="es-CO"/>
        </w:rPr>
      </w:pPr>
    </w:p>
    <w:p w14:paraId="14C8011F" w14:textId="77777777" w:rsidR="00577AB4" w:rsidRPr="008270B7" w:rsidRDefault="00577AB4" w:rsidP="008270B7">
      <w:pPr>
        <w:jc w:val="right"/>
        <w:rPr>
          <w:rFonts w:cs="Arial"/>
          <w:sz w:val="16"/>
          <w:szCs w:val="16"/>
          <w:lang w:val="es-CO"/>
        </w:rPr>
      </w:pPr>
    </w:p>
    <w:p w14:paraId="57DFC865" w14:textId="77777777" w:rsidR="00577AB4" w:rsidRPr="008270B7" w:rsidRDefault="00577AB4" w:rsidP="008270B7">
      <w:pPr>
        <w:tabs>
          <w:tab w:val="left" w:pos="7341"/>
        </w:tabs>
        <w:rPr>
          <w:rFonts w:cs="Arial"/>
          <w:sz w:val="16"/>
          <w:szCs w:val="16"/>
          <w:lang w:val="es-CO"/>
        </w:rPr>
      </w:pPr>
    </w:p>
    <w:p w14:paraId="3F17A521"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0926C60C" w14:textId="77777777" w:rsidR="002C2B33" w:rsidRPr="008270B7" w:rsidRDefault="002C2B33" w:rsidP="008270B7">
      <w:pPr>
        <w:tabs>
          <w:tab w:val="left" w:pos="720"/>
        </w:tabs>
        <w:autoSpaceDE w:val="0"/>
        <w:autoSpaceDN w:val="0"/>
        <w:adjustRightInd w:val="0"/>
        <w:jc w:val="both"/>
        <w:rPr>
          <w:rFonts w:cs="Arial"/>
          <w:sz w:val="16"/>
          <w:szCs w:val="16"/>
          <w:lang w:val="es-CO"/>
        </w:rPr>
        <w:sectPr w:rsidR="002C2B33" w:rsidRPr="008270B7" w:rsidSect="00697CF2">
          <w:headerReference w:type="first" r:id="rId56"/>
          <w:footerReference w:type="first" r:id="rId57"/>
          <w:pgSz w:w="12240" w:h="18720" w:code="257"/>
          <w:pgMar w:top="1417" w:right="1701" w:bottom="1417" w:left="1701" w:header="709" w:footer="865" w:gutter="0"/>
          <w:cols w:space="708"/>
          <w:titlePg/>
          <w:docGrid w:linePitch="360"/>
        </w:sectPr>
      </w:pPr>
    </w:p>
    <w:p w14:paraId="2F8872C8"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lastRenderedPageBreak/>
        <w:t>2.2.1.1.4. Indicación de si se trata de una póliza expedida de forma directa, en coaseguro o de un negocio aceptado en reaseguro. Para dicho efecto, se deben utilizar los siguientes códigos: PD para las pólizas expedidas directamente y sin coaseguro; AR para los negocios aceptados en reaseguro; CO para pólizas expedidas en coaseguro.</w:t>
      </w:r>
    </w:p>
    <w:p w14:paraId="20A833E1"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6FDB14AE"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2.2.1.1.5. Nombre del asegurado, tomador y beneficiario.</w:t>
      </w:r>
    </w:p>
    <w:p w14:paraId="42B53E2A"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3E1E9AEA"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2.2.1.1.6. Fecha de ocurrencia del siniestro.</w:t>
      </w:r>
    </w:p>
    <w:p w14:paraId="3729CBB0"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5978001E"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2.2.1.1.7. Fecha de aviso.</w:t>
      </w:r>
    </w:p>
    <w:p w14:paraId="6BA96F4A"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5E1F5567"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 xml:space="preserve">2.2.1.1.8. Fecha de presentación de la reclamación en los términos señalados en el art. 1077 </w:t>
      </w:r>
      <w:proofErr w:type="spellStart"/>
      <w:proofErr w:type="gramStart"/>
      <w:r w:rsidRPr="008270B7">
        <w:rPr>
          <w:rFonts w:cs="Arial"/>
          <w:sz w:val="16"/>
          <w:szCs w:val="16"/>
          <w:lang w:val="es-CO"/>
        </w:rPr>
        <w:t>C.Cio</w:t>
      </w:r>
      <w:proofErr w:type="spellEnd"/>
      <w:proofErr w:type="gramEnd"/>
      <w:r w:rsidRPr="008270B7">
        <w:rPr>
          <w:rFonts w:cs="Arial"/>
          <w:sz w:val="16"/>
          <w:szCs w:val="16"/>
          <w:lang w:val="es-CO"/>
        </w:rPr>
        <w:t>. (fecha de entrega del último documento).</w:t>
      </w:r>
    </w:p>
    <w:p w14:paraId="731C436E"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1E53CC33"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 xml:space="preserve">2.2.1.1.9. Cobertura afectada. Para este efecto se debe utilizar la codificación señalada en el </w:t>
      </w:r>
      <w:proofErr w:type="spellStart"/>
      <w:r w:rsidRPr="008270B7">
        <w:rPr>
          <w:rFonts w:cs="Arial"/>
          <w:sz w:val="16"/>
          <w:szCs w:val="16"/>
          <w:lang w:val="es-CO"/>
        </w:rPr>
        <w:t>subnumeral</w:t>
      </w:r>
      <w:proofErr w:type="spellEnd"/>
      <w:r w:rsidRPr="008270B7">
        <w:rPr>
          <w:rFonts w:cs="Arial"/>
          <w:sz w:val="16"/>
          <w:szCs w:val="16"/>
          <w:lang w:val="es-CO"/>
        </w:rPr>
        <w:t xml:space="preserve"> 1.1. del presente Capítulo.</w:t>
      </w:r>
    </w:p>
    <w:p w14:paraId="0FCD701C"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5752A2C2"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2.2.1.1.10. Valor de la pretensión.</w:t>
      </w:r>
    </w:p>
    <w:p w14:paraId="183ADC59"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2523FD14"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2.2.1.1.11. Reserva parte compañía inicialmente constituida.</w:t>
      </w:r>
    </w:p>
    <w:p w14:paraId="70B0AB53"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44A97ECC"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2.2.1.1.12. Reserva parte reaseguradores inicialmente constituida.</w:t>
      </w:r>
    </w:p>
    <w:p w14:paraId="35722476"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76EDA03A"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 xml:space="preserve">2.2.1.1.13. Ajuste de cada una de las reservas a las que se refieren los </w:t>
      </w:r>
      <w:proofErr w:type="spellStart"/>
      <w:r w:rsidRPr="008270B7">
        <w:rPr>
          <w:rFonts w:cs="Arial"/>
          <w:sz w:val="16"/>
          <w:szCs w:val="16"/>
          <w:lang w:val="es-CO"/>
        </w:rPr>
        <w:t>subnumerales</w:t>
      </w:r>
      <w:proofErr w:type="spellEnd"/>
      <w:r w:rsidRPr="008270B7">
        <w:rPr>
          <w:rFonts w:cs="Arial"/>
          <w:sz w:val="16"/>
          <w:szCs w:val="16"/>
          <w:lang w:val="es-CO"/>
        </w:rPr>
        <w:t xml:space="preserve"> 2.2.1.1.11 y 2.2.1.1.12 anteriores, si los hubiere.</w:t>
      </w:r>
    </w:p>
    <w:p w14:paraId="1528B75A"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560EA8EC"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2.2.1.1.14. Fecha y valor de pago del siniestro.</w:t>
      </w:r>
    </w:p>
    <w:p w14:paraId="0B734C8A"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614C05B3"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 xml:space="preserve">2.2.1.1.15. Indicación de si el siniestro fue objetado o se encuentra en trámite. </w:t>
      </w:r>
    </w:p>
    <w:p w14:paraId="3C838D61"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1DD3848D"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2.2.1.1.16. Razones de objeción, en caso de que a ello haya lugar.</w:t>
      </w:r>
    </w:p>
    <w:p w14:paraId="5690E58B"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0FC2FAE9"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2.2.1.1.17. Indicación de si el siniestro se encuentra en proceso (litigio) o no.</w:t>
      </w:r>
    </w:p>
    <w:p w14:paraId="46208852"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691A9D29" w14:textId="77777777" w:rsidR="002C2B33" w:rsidRPr="008270B7" w:rsidRDefault="002C2B33" w:rsidP="008270B7">
      <w:pPr>
        <w:tabs>
          <w:tab w:val="left" w:pos="720"/>
        </w:tabs>
        <w:autoSpaceDE w:val="0"/>
        <w:autoSpaceDN w:val="0"/>
        <w:adjustRightInd w:val="0"/>
        <w:jc w:val="both"/>
        <w:rPr>
          <w:rFonts w:cs="Arial"/>
          <w:sz w:val="16"/>
          <w:szCs w:val="16"/>
          <w:lang w:val="es-CO"/>
        </w:rPr>
      </w:pPr>
      <w:r w:rsidRPr="008270B7">
        <w:rPr>
          <w:rFonts w:cs="Arial"/>
          <w:sz w:val="16"/>
          <w:szCs w:val="16"/>
          <w:lang w:val="es-CO"/>
        </w:rPr>
        <w:t>2.2.1.1.18. Valor total de la reserva de siniestros parte compañía y parte reaseguradores.</w:t>
      </w:r>
    </w:p>
    <w:p w14:paraId="3D0C12E6"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133DD5B4" w14:textId="3A801DB0" w:rsidR="002C2B33" w:rsidRPr="008270B7" w:rsidRDefault="002C2B33" w:rsidP="008270B7">
      <w:pPr>
        <w:tabs>
          <w:tab w:val="left" w:pos="720"/>
        </w:tabs>
        <w:autoSpaceDE w:val="0"/>
        <w:autoSpaceDN w:val="0"/>
        <w:adjustRightInd w:val="0"/>
        <w:jc w:val="both"/>
        <w:rPr>
          <w:rFonts w:cs="Arial"/>
          <w:sz w:val="16"/>
          <w:szCs w:val="16"/>
          <w:highlight w:val="green"/>
          <w:lang w:val="es-CO"/>
        </w:rPr>
      </w:pPr>
      <w:r w:rsidRPr="008270B7">
        <w:rPr>
          <w:rFonts w:cs="Arial"/>
          <w:sz w:val="16"/>
          <w:szCs w:val="16"/>
          <w:lang w:val="es-CO"/>
        </w:rPr>
        <w:t>Tratándose de operaciones de reaseguro aceptado, la aseguradora no está obligada a tener la información de que tratan los literales 2.2.1.1.5, 2.2.1.1.6, 2.2.1.1.7, 2.2.1.1.8, 2.2.1.1.1.15 y 2.2.1.1.16, anteriores.</w:t>
      </w:r>
    </w:p>
    <w:p w14:paraId="463C0D31" w14:textId="77777777" w:rsidR="002C2B33" w:rsidRPr="008270B7" w:rsidRDefault="002C2B33" w:rsidP="008270B7">
      <w:pPr>
        <w:tabs>
          <w:tab w:val="left" w:pos="720"/>
        </w:tabs>
        <w:autoSpaceDE w:val="0"/>
        <w:autoSpaceDN w:val="0"/>
        <w:adjustRightInd w:val="0"/>
        <w:jc w:val="both"/>
        <w:rPr>
          <w:rFonts w:cs="Arial"/>
          <w:sz w:val="16"/>
          <w:szCs w:val="16"/>
          <w:lang w:val="es-CO"/>
        </w:rPr>
      </w:pPr>
    </w:p>
    <w:p w14:paraId="08D2F07D" w14:textId="77777777" w:rsidR="002C2B33" w:rsidRPr="008270B7" w:rsidRDefault="002C2B33" w:rsidP="008270B7">
      <w:pPr>
        <w:tabs>
          <w:tab w:val="left" w:pos="720"/>
        </w:tabs>
        <w:jc w:val="both"/>
        <w:rPr>
          <w:rFonts w:cs="Arial"/>
          <w:sz w:val="16"/>
          <w:szCs w:val="16"/>
        </w:rPr>
      </w:pPr>
      <w:r w:rsidRPr="008270B7">
        <w:rPr>
          <w:rFonts w:cs="Arial"/>
          <w:sz w:val="16"/>
          <w:szCs w:val="16"/>
        </w:rPr>
        <w:t xml:space="preserve">2.2.1.2. Constancias a reclamantes </w:t>
      </w:r>
    </w:p>
    <w:p w14:paraId="1F609D2A" w14:textId="77777777" w:rsidR="002C2B33" w:rsidRPr="008270B7" w:rsidRDefault="002C2B33" w:rsidP="008270B7">
      <w:pPr>
        <w:tabs>
          <w:tab w:val="left" w:pos="720"/>
        </w:tabs>
        <w:jc w:val="both"/>
        <w:rPr>
          <w:rFonts w:cs="Arial"/>
          <w:sz w:val="16"/>
          <w:szCs w:val="16"/>
        </w:rPr>
      </w:pPr>
    </w:p>
    <w:p w14:paraId="587A1F1C" w14:textId="77777777" w:rsidR="002C2B33" w:rsidRPr="008270B7" w:rsidRDefault="002C2B33" w:rsidP="008270B7">
      <w:pPr>
        <w:tabs>
          <w:tab w:val="left" w:pos="720"/>
        </w:tabs>
        <w:jc w:val="both"/>
        <w:rPr>
          <w:rFonts w:cs="Arial"/>
          <w:sz w:val="16"/>
          <w:szCs w:val="16"/>
        </w:rPr>
      </w:pPr>
      <w:r w:rsidRPr="008270B7">
        <w:rPr>
          <w:rFonts w:cs="Arial"/>
          <w:sz w:val="16"/>
          <w:szCs w:val="16"/>
        </w:rPr>
        <w:t>Para los mismos efectos previstos en este acápite, las entidades aseguradoras deben expedir constancia a sus reclamantes, que contenga como mínimo la siguiente información:</w:t>
      </w:r>
    </w:p>
    <w:p w14:paraId="6008609E" w14:textId="77777777" w:rsidR="002C2B33" w:rsidRPr="008270B7" w:rsidRDefault="002C2B33" w:rsidP="008270B7">
      <w:pPr>
        <w:tabs>
          <w:tab w:val="left" w:pos="720"/>
        </w:tabs>
        <w:jc w:val="both"/>
        <w:rPr>
          <w:rFonts w:cs="Arial"/>
          <w:sz w:val="16"/>
          <w:szCs w:val="16"/>
        </w:rPr>
      </w:pPr>
    </w:p>
    <w:p w14:paraId="3C6F795F" w14:textId="77777777" w:rsidR="002C2B33" w:rsidRPr="008270B7" w:rsidRDefault="002C2B33" w:rsidP="008270B7">
      <w:pPr>
        <w:tabs>
          <w:tab w:val="left" w:pos="720"/>
        </w:tabs>
        <w:jc w:val="both"/>
        <w:rPr>
          <w:rFonts w:cs="Arial"/>
          <w:sz w:val="16"/>
          <w:szCs w:val="16"/>
        </w:rPr>
      </w:pPr>
      <w:r w:rsidRPr="008270B7">
        <w:rPr>
          <w:rFonts w:cs="Arial"/>
          <w:sz w:val="16"/>
          <w:szCs w:val="16"/>
        </w:rPr>
        <w:t>2.2.1.2.1. Nombre del asegurado</w:t>
      </w:r>
    </w:p>
    <w:p w14:paraId="1B90018A" w14:textId="77777777" w:rsidR="002C2B33" w:rsidRPr="008270B7" w:rsidRDefault="002C2B33" w:rsidP="008270B7">
      <w:pPr>
        <w:tabs>
          <w:tab w:val="left" w:pos="720"/>
        </w:tabs>
        <w:jc w:val="both"/>
        <w:rPr>
          <w:rFonts w:cs="Arial"/>
          <w:sz w:val="16"/>
          <w:szCs w:val="16"/>
        </w:rPr>
      </w:pPr>
      <w:r w:rsidRPr="008270B7">
        <w:rPr>
          <w:rFonts w:cs="Arial"/>
          <w:sz w:val="16"/>
          <w:szCs w:val="16"/>
        </w:rPr>
        <w:t>2.2.1.2.2. Número de la póliza afectada por el reclamo</w:t>
      </w:r>
    </w:p>
    <w:p w14:paraId="7E97BE4E" w14:textId="77777777" w:rsidR="002C2B33" w:rsidRPr="008270B7" w:rsidRDefault="002C2B33" w:rsidP="008270B7">
      <w:pPr>
        <w:tabs>
          <w:tab w:val="left" w:pos="720"/>
        </w:tabs>
        <w:jc w:val="both"/>
        <w:rPr>
          <w:rFonts w:cs="Arial"/>
          <w:sz w:val="16"/>
          <w:szCs w:val="16"/>
        </w:rPr>
      </w:pPr>
      <w:r w:rsidRPr="008270B7">
        <w:rPr>
          <w:rFonts w:cs="Arial"/>
          <w:sz w:val="16"/>
          <w:szCs w:val="16"/>
        </w:rPr>
        <w:t>2.2.1.2.3. Fecha del siniestro</w:t>
      </w:r>
    </w:p>
    <w:p w14:paraId="1E6CB8DD" w14:textId="77777777" w:rsidR="002C2B33" w:rsidRPr="008270B7" w:rsidRDefault="002C2B33" w:rsidP="008270B7">
      <w:pPr>
        <w:tabs>
          <w:tab w:val="left" w:pos="720"/>
        </w:tabs>
        <w:jc w:val="both"/>
        <w:rPr>
          <w:rFonts w:cs="Arial"/>
          <w:sz w:val="16"/>
          <w:szCs w:val="16"/>
        </w:rPr>
      </w:pPr>
      <w:r w:rsidRPr="008270B7">
        <w:rPr>
          <w:rFonts w:cs="Arial"/>
          <w:sz w:val="16"/>
          <w:szCs w:val="16"/>
        </w:rPr>
        <w:t>2.2.1.2.4. Fecha de aviso del siniestro</w:t>
      </w:r>
    </w:p>
    <w:p w14:paraId="4BFCB9F2" w14:textId="77777777" w:rsidR="002C2B33" w:rsidRPr="008270B7" w:rsidRDefault="002C2B33" w:rsidP="008270B7">
      <w:pPr>
        <w:tabs>
          <w:tab w:val="left" w:pos="720"/>
        </w:tabs>
        <w:jc w:val="both"/>
        <w:rPr>
          <w:rFonts w:cs="Arial"/>
          <w:sz w:val="16"/>
          <w:szCs w:val="16"/>
        </w:rPr>
      </w:pPr>
      <w:r w:rsidRPr="008270B7">
        <w:rPr>
          <w:rFonts w:cs="Arial"/>
          <w:sz w:val="16"/>
          <w:szCs w:val="16"/>
        </w:rPr>
        <w:t>2.2.1.2.5. Fecha de presentación del reclamo</w:t>
      </w:r>
    </w:p>
    <w:p w14:paraId="39765394" w14:textId="77777777" w:rsidR="002C2B33" w:rsidRPr="008270B7" w:rsidRDefault="002C2B33" w:rsidP="008270B7">
      <w:pPr>
        <w:tabs>
          <w:tab w:val="left" w:pos="720"/>
        </w:tabs>
        <w:jc w:val="both"/>
        <w:rPr>
          <w:rFonts w:cs="Arial"/>
          <w:sz w:val="16"/>
          <w:szCs w:val="16"/>
        </w:rPr>
      </w:pPr>
      <w:r w:rsidRPr="008270B7">
        <w:rPr>
          <w:rFonts w:cs="Arial"/>
          <w:sz w:val="16"/>
          <w:szCs w:val="16"/>
        </w:rPr>
        <w:t>2.2.1.2.6. Documentos aportados</w:t>
      </w:r>
    </w:p>
    <w:p w14:paraId="0B71265E" w14:textId="77777777" w:rsidR="002C2B33" w:rsidRPr="008270B7" w:rsidRDefault="002C2B33" w:rsidP="008270B7">
      <w:pPr>
        <w:tabs>
          <w:tab w:val="left" w:pos="720"/>
        </w:tabs>
        <w:jc w:val="both"/>
        <w:rPr>
          <w:rFonts w:cs="Arial"/>
          <w:sz w:val="16"/>
          <w:szCs w:val="16"/>
        </w:rPr>
      </w:pPr>
      <w:r w:rsidRPr="008270B7">
        <w:rPr>
          <w:rFonts w:cs="Arial"/>
          <w:sz w:val="16"/>
          <w:szCs w:val="16"/>
        </w:rPr>
        <w:t>2.2.1.2.7. Valor pretendido de la reclamación</w:t>
      </w:r>
    </w:p>
    <w:p w14:paraId="0ED99036" w14:textId="77777777" w:rsidR="002C2B33" w:rsidRPr="008270B7" w:rsidRDefault="002C2B33" w:rsidP="008270B7">
      <w:pPr>
        <w:tabs>
          <w:tab w:val="left" w:pos="720"/>
        </w:tabs>
        <w:jc w:val="both"/>
        <w:rPr>
          <w:rFonts w:cs="Arial"/>
          <w:sz w:val="16"/>
          <w:szCs w:val="16"/>
        </w:rPr>
      </w:pPr>
      <w:r w:rsidRPr="008270B7">
        <w:rPr>
          <w:rFonts w:cs="Arial"/>
          <w:sz w:val="16"/>
          <w:szCs w:val="16"/>
        </w:rPr>
        <w:t>2.2.1.2.8. Número consecutivo de la constancia expedida</w:t>
      </w:r>
    </w:p>
    <w:p w14:paraId="4B7E139A" w14:textId="77777777" w:rsidR="002C2B33" w:rsidRPr="008270B7" w:rsidRDefault="002C2B33" w:rsidP="008270B7">
      <w:pPr>
        <w:tabs>
          <w:tab w:val="left" w:pos="720"/>
        </w:tabs>
        <w:jc w:val="both"/>
        <w:rPr>
          <w:rFonts w:cs="Arial"/>
          <w:sz w:val="16"/>
          <w:szCs w:val="16"/>
        </w:rPr>
      </w:pPr>
    </w:p>
    <w:p w14:paraId="3EC2C653" w14:textId="77777777" w:rsidR="002C2B33" w:rsidRPr="008270B7" w:rsidRDefault="002C2B33" w:rsidP="008270B7">
      <w:pPr>
        <w:pStyle w:val="Textoindependiente2"/>
        <w:tabs>
          <w:tab w:val="left" w:pos="284"/>
          <w:tab w:val="left" w:pos="720"/>
        </w:tabs>
        <w:rPr>
          <w:rFonts w:cs="Arial"/>
          <w:b w:val="0"/>
          <w:sz w:val="16"/>
          <w:szCs w:val="16"/>
        </w:rPr>
      </w:pPr>
      <w:r w:rsidRPr="008270B7">
        <w:rPr>
          <w:rFonts w:cs="Arial"/>
          <w:b w:val="0"/>
          <w:sz w:val="16"/>
          <w:szCs w:val="16"/>
        </w:rPr>
        <w:t>2.2.1.3. Retención de reserva de riesgos en curso en la operación de reaseguro</w:t>
      </w:r>
    </w:p>
    <w:p w14:paraId="513F2DA7" w14:textId="77777777" w:rsidR="002C2B33" w:rsidRPr="008270B7" w:rsidRDefault="002C2B33" w:rsidP="008270B7">
      <w:pPr>
        <w:tabs>
          <w:tab w:val="left" w:pos="720"/>
        </w:tabs>
        <w:jc w:val="both"/>
        <w:rPr>
          <w:rFonts w:cs="Arial"/>
          <w:sz w:val="16"/>
          <w:szCs w:val="16"/>
        </w:rPr>
      </w:pPr>
    </w:p>
    <w:p w14:paraId="7FC72ECA" w14:textId="77777777" w:rsidR="002C2B33" w:rsidRPr="008270B7" w:rsidRDefault="002C2B33" w:rsidP="008270B7">
      <w:pPr>
        <w:widowControl w:val="0"/>
        <w:autoSpaceDE w:val="0"/>
        <w:autoSpaceDN w:val="0"/>
        <w:adjustRightInd w:val="0"/>
        <w:jc w:val="both"/>
        <w:rPr>
          <w:rFonts w:cs="Arial"/>
          <w:sz w:val="16"/>
          <w:szCs w:val="16"/>
        </w:rPr>
      </w:pPr>
      <w:r w:rsidRPr="008270B7">
        <w:rPr>
          <w:rFonts w:cs="Arial"/>
          <w:sz w:val="16"/>
          <w:szCs w:val="16"/>
        </w:rPr>
        <w:t xml:space="preserve">Para efectos de la adecuada operación del reaseguro, las entidades aseguradoras deben dar aplicación al art. 2.31.4.1.9 del Decreto 2555 de 2010. </w:t>
      </w:r>
    </w:p>
    <w:p w14:paraId="175AF465" w14:textId="77777777" w:rsidR="002C2B33" w:rsidRPr="008270B7" w:rsidRDefault="002C2B33" w:rsidP="008270B7">
      <w:pPr>
        <w:widowControl w:val="0"/>
        <w:autoSpaceDE w:val="0"/>
        <w:autoSpaceDN w:val="0"/>
        <w:adjustRightInd w:val="0"/>
        <w:jc w:val="both"/>
        <w:rPr>
          <w:rFonts w:cs="Arial"/>
          <w:sz w:val="16"/>
          <w:szCs w:val="16"/>
        </w:rPr>
      </w:pPr>
    </w:p>
    <w:p w14:paraId="175E87A8" w14:textId="77777777" w:rsidR="002C2B33" w:rsidRPr="008270B7" w:rsidRDefault="002C2B33" w:rsidP="008270B7">
      <w:pPr>
        <w:tabs>
          <w:tab w:val="left" w:pos="720"/>
        </w:tabs>
        <w:jc w:val="both"/>
        <w:rPr>
          <w:rFonts w:cs="Arial"/>
          <w:sz w:val="16"/>
          <w:szCs w:val="16"/>
        </w:rPr>
      </w:pPr>
      <w:r w:rsidRPr="008270B7">
        <w:rPr>
          <w:rFonts w:cs="Arial"/>
          <w:sz w:val="16"/>
          <w:szCs w:val="16"/>
        </w:rPr>
        <w:t xml:space="preserve">La entidad cedente y el reasegurador pueden estipular el reconocimiento de intereses remuneratorios en favor de </w:t>
      </w:r>
      <w:proofErr w:type="gramStart"/>
      <w:r w:rsidRPr="008270B7">
        <w:rPr>
          <w:rFonts w:cs="Arial"/>
          <w:sz w:val="16"/>
          <w:szCs w:val="16"/>
        </w:rPr>
        <w:t>éste</w:t>
      </w:r>
      <w:proofErr w:type="gramEnd"/>
      <w:r w:rsidRPr="008270B7">
        <w:rPr>
          <w:rFonts w:cs="Arial"/>
          <w:sz w:val="16"/>
          <w:szCs w:val="16"/>
        </w:rPr>
        <w:t xml:space="preserve"> sobre dichos depósitos durante el término en que deba mantener la retención.</w:t>
      </w:r>
    </w:p>
    <w:p w14:paraId="2086FE04" w14:textId="77777777" w:rsidR="002C2B33" w:rsidRPr="008270B7" w:rsidRDefault="002C2B33" w:rsidP="00266710">
      <w:pPr>
        <w:pBdr>
          <w:left w:val="single" w:sz="4" w:space="4" w:color="auto"/>
        </w:pBdr>
        <w:tabs>
          <w:tab w:val="left" w:pos="720"/>
        </w:tabs>
        <w:jc w:val="both"/>
        <w:rPr>
          <w:rFonts w:cs="Arial"/>
          <w:sz w:val="16"/>
          <w:szCs w:val="16"/>
        </w:rPr>
      </w:pPr>
    </w:p>
    <w:p w14:paraId="30AAD46C" w14:textId="77777777" w:rsidR="00266710" w:rsidRDefault="00266710" w:rsidP="00266710">
      <w:pPr>
        <w:pBdr>
          <w:left w:val="single" w:sz="4" w:space="4" w:color="auto"/>
        </w:pBdr>
        <w:rPr>
          <w:rFonts w:cs="Arial"/>
          <w:sz w:val="16"/>
          <w:szCs w:val="16"/>
        </w:rPr>
      </w:pPr>
    </w:p>
    <w:p w14:paraId="433D7318" w14:textId="77777777" w:rsidR="00266710" w:rsidRDefault="00266710" w:rsidP="00266710">
      <w:pPr>
        <w:pBdr>
          <w:left w:val="single" w:sz="4" w:space="4" w:color="auto"/>
        </w:pBdr>
        <w:rPr>
          <w:rFonts w:cs="Arial"/>
          <w:sz w:val="16"/>
          <w:szCs w:val="16"/>
        </w:rPr>
      </w:pPr>
    </w:p>
    <w:p w14:paraId="567BBCA3" w14:textId="77777777" w:rsidR="00266710" w:rsidRDefault="00266710" w:rsidP="00266710">
      <w:pPr>
        <w:pBdr>
          <w:left w:val="single" w:sz="4" w:space="4" w:color="auto"/>
        </w:pBdr>
        <w:rPr>
          <w:rFonts w:cs="Arial"/>
          <w:sz w:val="16"/>
          <w:szCs w:val="16"/>
        </w:rPr>
      </w:pPr>
    </w:p>
    <w:p w14:paraId="08D0A6D3" w14:textId="77777777" w:rsidR="00266710" w:rsidRDefault="00266710" w:rsidP="00266710">
      <w:pPr>
        <w:pBdr>
          <w:left w:val="single" w:sz="4" w:space="4" w:color="auto"/>
        </w:pBdr>
        <w:rPr>
          <w:rFonts w:cs="Arial"/>
          <w:sz w:val="16"/>
          <w:szCs w:val="16"/>
        </w:rPr>
      </w:pPr>
    </w:p>
    <w:p w14:paraId="60950E31" w14:textId="77777777" w:rsidR="00266710" w:rsidRDefault="00266710" w:rsidP="00266710">
      <w:pPr>
        <w:pBdr>
          <w:left w:val="single" w:sz="4" w:space="4" w:color="auto"/>
        </w:pBdr>
        <w:rPr>
          <w:rFonts w:cs="Arial"/>
          <w:sz w:val="16"/>
          <w:szCs w:val="16"/>
        </w:rPr>
      </w:pPr>
    </w:p>
    <w:p w14:paraId="440525E7" w14:textId="77777777" w:rsidR="00266710" w:rsidRDefault="00266710" w:rsidP="00266710">
      <w:pPr>
        <w:pBdr>
          <w:left w:val="single" w:sz="4" w:space="4" w:color="auto"/>
        </w:pBdr>
        <w:rPr>
          <w:rFonts w:cs="Arial"/>
          <w:sz w:val="16"/>
          <w:szCs w:val="16"/>
        </w:rPr>
      </w:pPr>
    </w:p>
    <w:p w14:paraId="58B1D206" w14:textId="77777777" w:rsidR="00266710" w:rsidRDefault="00266710" w:rsidP="00266710">
      <w:pPr>
        <w:pBdr>
          <w:left w:val="single" w:sz="4" w:space="4" w:color="auto"/>
        </w:pBdr>
        <w:rPr>
          <w:rFonts w:cs="Arial"/>
          <w:sz w:val="16"/>
          <w:szCs w:val="16"/>
        </w:rPr>
      </w:pPr>
    </w:p>
    <w:p w14:paraId="14DDA05A" w14:textId="77777777" w:rsidR="00266710" w:rsidRDefault="00266710" w:rsidP="00266710">
      <w:pPr>
        <w:pBdr>
          <w:left w:val="single" w:sz="4" w:space="4" w:color="auto"/>
        </w:pBdr>
        <w:rPr>
          <w:rFonts w:cs="Arial"/>
          <w:sz w:val="16"/>
          <w:szCs w:val="16"/>
        </w:rPr>
      </w:pPr>
    </w:p>
    <w:p w14:paraId="385DB3B5" w14:textId="77777777" w:rsidR="00266710" w:rsidRDefault="00266710" w:rsidP="00266710">
      <w:pPr>
        <w:pBdr>
          <w:left w:val="single" w:sz="4" w:space="4" w:color="auto"/>
        </w:pBdr>
        <w:rPr>
          <w:rFonts w:cs="Arial"/>
          <w:sz w:val="16"/>
          <w:szCs w:val="16"/>
        </w:rPr>
      </w:pPr>
    </w:p>
    <w:p w14:paraId="639C95C9" w14:textId="77777777" w:rsidR="00266710" w:rsidRDefault="00266710" w:rsidP="00266710">
      <w:pPr>
        <w:pBdr>
          <w:left w:val="single" w:sz="4" w:space="4" w:color="auto"/>
        </w:pBdr>
        <w:rPr>
          <w:rFonts w:cs="Arial"/>
          <w:sz w:val="16"/>
          <w:szCs w:val="16"/>
        </w:rPr>
      </w:pPr>
    </w:p>
    <w:p w14:paraId="57ED432D" w14:textId="77777777" w:rsidR="00266710" w:rsidRDefault="00266710" w:rsidP="00266710">
      <w:pPr>
        <w:pBdr>
          <w:left w:val="single" w:sz="4" w:space="4" w:color="auto"/>
        </w:pBdr>
        <w:rPr>
          <w:rFonts w:cs="Arial"/>
          <w:sz w:val="16"/>
          <w:szCs w:val="16"/>
        </w:rPr>
      </w:pPr>
    </w:p>
    <w:p w14:paraId="0BBF07E3" w14:textId="77777777" w:rsidR="00266710" w:rsidRDefault="00266710" w:rsidP="00266710">
      <w:pPr>
        <w:pBdr>
          <w:left w:val="single" w:sz="4" w:space="4" w:color="auto"/>
        </w:pBdr>
        <w:rPr>
          <w:rFonts w:cs="Arial"/>
          <w:sz w:val="16"/>
          <w:szCs w:val="16"/>
        </w:rPr>
      </w:pPr>
    </w:p>
    <w:p w14:paraId="6577DDD7" w14:textId="77777777" w:rsidR="00266710" w:rsidRDefault="00266710" w:rsidP="00266710">
      <w:pPr>
        <w:pBdr>
          <w:left w:val="single" w:sz="4" w:space="4" w:color="auto"/>
        </w:pBdr>
        <w:rPr>
          <w:rFonts w:cs="Arial"/>
          <w:sz w:val="16"/>
          <w:szCs w:val="16"/>
        </w:rPr>
      </w:pPr>
    </w:p>
    <w:p w14:paraId="3A6F6427" w14:textId="77777777" w:rsidR="00266710" w:rsidRDefault="00266710" w:rsidP="00266710">
      <w:pPr>
        <w:pBdr>
          <w:left w:val="single" w:sz="4" w:space="4" w:color="auto"/>
        </w:pBdr>
        <w:rPr>
          <w:rFonts w:cs="Arial"/>
          <w:sz w:val="16"/>
          <w:szCs w:val="16"/>
        </w:rPr>
      </w:pPr>
    </w:p>
    <w:p w14:paraId="6EFDE9E2" w14:textId="77777777" w:rsidR="00266710" w:rsidRDefault="00266710" w:rsidP="00266710">
      <w:pPr>
        <w:pBdr>
          <w:left w:val="single" w:sz="4" w:space="4" w:color="auto"/>
        </w:pBdr>
        <w:rPr>
          <w:rFonts w:cs="Arial"/>
          <w:sz w:val="16"/>
          <w:szCs w:val="16"/>
        </w:rPr>
      </w:pPr>
    </w:p>
    <w:p w14:paraId="5E777B7B" w14:textId="77777777" w:rsidR="00266710" w:rsidRDefault="00266710" w:rsidP="00266710">
      <w:pPr>
        <w:pBdr>
          <w:left w:val="single" w:sz="4" w:space="4" w:color="auto"/>
        </w:pBdr>
        <w:rPr>
          <w:rFonts w:cs="Arial"/>
          <w:sz w:val="16"/>
          <w:szCs w:val="16"/>
        </w:rPr>
      </w:pPr>
    </w:p>
    <w:p w14:paraId="4513D014" w14:textId="77777777" w:rsidR="00266710" w:rsidRDefault="00266710" w:rsidP="00266710">
      <w:pPr>
        <w:pBdr>
          <w:left w:val="single" w:sz="4" w:space="4" w:color="auto"/>
        </w:pBdr>
        <w:rPr>
          <w:rFonts w:cs="Arial"/>
          <w:sz w:val="16"/>
          <w:szCs w:val="16"/>
        </w:rPr>
      </w:pPr>
    </w:p>
    <w:p w14:paraId="57801E78" w14:textId="77777777" w:rsidR="00266710" w:rsidRDefault="00266710" w:rsidP="00266710">
      <w:pPr>
        <w:pBdr>
          <w:left w:val="single" w:sz="4" w:space="4" w:color="auto"/>
        </w:pBdr>
        <w:rPr>
          <w:rFonts w:cs="Arial"/>
          <w:sz w:val="16"/>
          <w:szCs w:val="16"/>
        </w:rPr>
      </w:pPr>
    </w:p>
    <w:p w14:paraId="3875176A" w14:textId="77777777" w:rsidR="00266710" w:rsidRDefault="00266710" w:rsidP="00266710">
      <w:pPr>
        <w:pBdr>
          <w:left w:val="single" w:sz="4" w:space="4" w:color="auto"/>
        </w:pBdr>
        <w:rPr>
          <w:rFonts w:cs="Arial"/>
          <w:sz w:val="16"/>
          <w:szCs w:val="16"/>
        </w:rPr>
      </w:pPr>
    </w:p>
    <w:p w14:paraId="2623311A" w14:textId="77777777" w:rsidR="00266710" w:rsidRDefault="00266710" w:rsidP="00266710">
      <w:pPr>
        <w:pBdr>
          <w:left w:val="single" w:sz="4" w:space="4" w:color="auto"/>
        </w:pBdr>
        <w:rPr>
          <w:rFonts w:cs="Arial"/>
          <w:sz w:val="16"/>
          <w:szCs w:val="16"/>
        </w:rPr>
      </w:pPr>
    </w:p>
    <w:p w14:paraId="669AF21B" w14:textId="77777777" w:rsidR="00266710" w:rsidRDefault="00266710" w:rsidP="00266710">
      <w:pPr>
        <w:pBdr>
          <w:left w:val="single" w:sz="4" w:space="4" w:color="auto"/>
        </w:pBdr>
        <w:rPr>
          <w:rFonts w:cs="Arial"/>
          <w:sz w:val="16"/>
          <w:szCs w:val="16"/>
        </w:rPr>
      </w:pPr>
    </w:p>
    <w:p w14:paraId="77A6C1CC" w14:textId="77777777" w:rsidR="00266710" w:rsidRDefault="00266710" w:rsidP="00266710">
      <w:pPr>
        <w:pBdr>
          <w:left w:val="single" w:sz="4" w:space="4" w:color="auto"/>
        </w:pBdr>
        <w:rPr>
          <w:rFonts w:cs="Arial"/>
          <w:sz w:val="16"/>
          <w:szCs w:val="16"/>
        </w:rPr>
      </w:pPr>
    </w:p>
    <w:p w14:paraId="7DB03111" w14:textId="77777777" w:rsidR="00266710" w:rsidRDefault="00266710" w:rsidP="00266710">
      <w:pPr>
        <w:pBdr>
          <w:left w:val="single" w:sz="4" w:space="4" w:color="auto"/>
        </w:pBdr>
        <w:rPr>
          <w:rFonts w:cs="Arial"/>
          <w:sz w:val="16"/>
          <w:szCs w:val="16"/>
        </w:rPr>
      </w:pPr>
    </w:p>
    <w:p w14:paraId="10299A21" w14:textId="77777777" w:rsidR="00266710" w:rsidRDefault="00266710" w:rsidP="00266710">
      <w:pPr>
        <w:pBdr>
          <w:left w:val="single" w:sz="4" w:space="4" w:color="auto"/>
        </w:pBdr>
        <w:rPr>
          <w:rFonts w:cs="Arial"/>
          <w:sz w:val="16"/>
          <w:szCs w:val="16"/>
        </w:rPr>
      </w:pPr>
    </w:p>
    <w:p w14:paraId="34A0974D" w14:textId="6B575375" w:rsidR="008270B7" w:rsidRDefault="008270B7">
      <w:pPr>
        <w:rPr>
          <w:rFonts w:cs="Arial"/>
          <w:sz w:val="16"/>
          <w:szCs w:val="16"/>
        </w:rPr>
      </w:pPr>
      <w:r>
        <w:rPr>
          <w:rFonts w:cs="Arial"/>
          <w:sz w:val="16"/>
          <w:szCs w:val="16"/>
        </w:rPr>
        <w:br w:type="page"/>
      </w:r>
    </w:p>
    <w:p w14:paraId="12C0FA65" w14:textId="77777777" w:rsidR="00BB0A30" w:rsidRPr="008270B7" w:rsidRDefault="00BB0A30" w:rsidP="008270B7">
      <w:pPr>
        <w:autoSpaceDE w:val="0"/>
        <w:autoSpaceDN w:val="0"/>
        <w:adjustRightInd w:val="0"/>
        <w:rPr>
          <w:rFonts w:cs="Arial"/>
          <w:spacing w:val="-3"/>
          <w:sz w:val="16"/>
          <w:szCs w:val="16"/>
        </w:rPr>
      </w:pPr>
    </w:p>
    <w:p w14:paraId="0FD92A49" w14:textId="77777777" w:rsidR="00BB0A30" w:rsidRPr="008270B7" w:rsidRDefault="00BB0A30" w:rsidP="008270B7">
      <w:pPr>
        <w:autoSpaceDE w:val="0"/>
        <w:autoSpaceDN w:val="0"/>
        <w:adjustRightInd w:val="0"/>
        <w:rPr>
          <w:rFonts w:cs="Arial"/>
          <w:spacing w:val="-3"/>
          <w:sz w:val="16"/>
          <w:szCs w:val="16"/>
        </w:rPr>
      </w:pPr>
      <w:r w:rsidRPr="008270B7">
        <w:rPr>
          <w:rFonts w:cs="Arial"/>
          <w:sz w:val="16"/>
          <w:szCs w:val="16"/>
        </w:rPr>
        <w:t>2.2.6. Instrucciones relativas a la inversión de reservas técnicas en bienes raíces productivos y no productivos.</w:t>
      </w:r>
    </w:p>
    <w:p w14:paraId="1937E6AC" w14:textId="77777777" w:rsidR="00BB0A30" w:rsidRPr="008270B7" w:rsidRDefault="00BB0A30" w:rsidP="008270B7">
      <w:pPr>
        <w:tabs>
          <w:tab w:val="left" w:pos="720"/>
        </w:tabs>
        <w:jc w:val="both"/>
        <w:rPr>
          <w:rFonts w:cs="Arial"/>
          <w:sz w:val="16"/>
          <w:szCs w:val="16"/>
        </w:rPr>
      </w:pPr>
    </w:p>
    <w:p w14:paraId="10991826" w14:textId="77777777" w:rsidR="00BB0A30" w:rsidRPr="008270B7" w:rsidRDefault="00BB0A30" w:rsidP="008270B7">
      <w:pPr>
        <w:tabs>
          <w:tab w:val="left" w:pos="720"/>
        </w:tabs>
        <w:jc w:val="both"/>
        <w:rPr>
          <w:rFonts w:cs="Arial"/>
          <w:sz w:val="16"/>
          <w:szCs w:val="16"/>
        </w:rPr>
      </w:pPr>
      <w:r w:rsidRPr="008270B7">
        <w:rPr>
          <w:rFonts w:cs="Arial"/>
          <w:sz w:val="16"/>
          <w:szCs w:val="16"/>
        </w:rPr>
        <w:t>De acuerdo con los numerales 3.10 del art. 2.31.3.1.2 y 17 del art. 2.31.3.1.4 del Decreto 2555 de 2010, las reservas técnicas de las entidades aseguradoras de vida, netas del activo de transferencia de riesgo al reasegurador, pueden estar invertidas en bienes raíces productivos y no productivos ubicados en el territorio colombiano, sin perjuicio de lo dispuesto en el Capítulo V, Título I, Parte I de la presente Circular.</w:t>
      </w:r>
    </w:p>
    <w:p w14:paraId="5C401E1A" w14:textId="77777777" w:rsidR="00BB0A30" w:rsidRPr="008270B7" w:rsidRDefault="00BB0A30" w:rsidP="008270B7">
      <w:pPr>
        <w:tabs>
          <w:tab w:val="left" w:pos="720"/>
        </w:tabs>
        <w:jc w:val="both"/>
        <w:rPr>
          <w:rFonts w:cs="Arial"/>
          <w:sz w:val="16"/>
          <w:szCs w:val="16"/>
        </w:rPr>
      </w:pPr>
    </w:p>
    <w:p w14:paraId="22CFC368" w14:textId="77777777" w:rsidR="00BB0A30" w:rsidRPr="008270B7" w:rsidRDefault="00BB0A30" w:rsidP="008270B7">
      <w:pPr>
        <w:tabs>
          <w:tab w:val="left" w:pos="720"/>
        </w:tabs>
        <w:jc w:val="both"/>
        <w:rPr>
          <w:rFonts w:cs="Arial"/>
          <w:sz w:val="16"/>
          <w:szCs w:val="16"/>
        </w:rPr>
      </w:pPr>
      <w:r w:rsidRPr="008270B7">
        <w:rPr>
          <w:rFonts w:cs="Arial"/>
          <w:sz w:val="16"/>
          <w:szCs w:val="16"/>
        </w:rPr>
        <w:t>2.2.6.1. Admisibilidad de la inversión en bienes raíces productivos y no productivos.</w:t>
      </w:r>
    </w:p>
    <w:p w14:paraId="17883F35" w14:textId="77777777" w:rsidR="00BB0A30" w:rsidRPr="008270B7" w:rsidRDefault="00BB0A30" w:rsidP="008270B7">
      <w:pPr>
        <w:tabs>
          <w:tab w:val="left" w:pos="720"/>
        </w:tabs>
        <w:jc w:val="both"/>
        <w:rPr>
          <w:rFonts w:cs="Arial"/>
          <w:sz w:val="16"/>
          <w:szCs w:val="16"/>
        </w:rPr>
      </w:pPr>
    </w:p>
    <w:p w14:paraId="60ED803C" w14:textId="77777777" w:rsidR="00BB0A30" w:rsidRPr="008270B7" w:rsidRDefault="00BB0A30" w:rsidP="008270B7">
      <w:pPr>
        <w:tabs>
          <w:tab w:val="left" w:pos="720"/>
        </w:tabs>
        <w:jc w:val="both"/>
        <w:rPr>
          <w:rFonts w:cs="Arial"/>
          <w:sz w:val="16"/>
          <w:szCs w:val="16"/>
        </w:rPr>
      </w:pPr>
      <w:r w:rsidRPr="008270B7">
        <w:rPr>
          <w:rFonts w:cs="Arial"/>
          <w:sz w:val="16"/>
          <w:szCs w:val="16"/>
        </w:rPr>
        <w:t>Para que la inversión en bienes raíces productivos sea admisible, es necesario que se cumplan con los siguientes requisitos:</w:t>
      </w:r>
    </w:p>
    <w:p w14:paraId="125D6F8B" w14:textId="77777777" w:rsidR="00BB0A30" w:rsidRPr="008270B7" w:rsidRDefault="00BB0A30" w:rsidP="008270B7">
      <w:pPr>
        <w:tabs>
          <w:tab w:val="left" w:pos="720"/>
        </w:tabs>
        <w:jc w:val="both"/>
        <w:rPr>
          <w:rFonts w:cs="Arial"/>
          <w:sz w:val="16"/>
          <w:szCs w:val="16"/>
        </w:rPr>
      </w:pPr>
    </w:p>
    <w:p w14:paraId="258CD0A2"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2.2.6.1.1. Los bienes raíces no pueden ser utilizados para el desarrollo del objeto social de la entidad aseguradora. </w:t>
      </w:r>
    </w:p>
    <w:p w14:paraId="262CA5FA" w14:textId="77777777" w:rsidR="00BB0A30" w:rsidRPr="008270B7" w:rsidRDefault="00BB0A30" w:rsidP="008270B7">
      <w:pPr>
        <w:tabs>
          <w:tab w:val="left" w:pos="720"/>
        </w:tabs>
        <w:jc w:val="both"/>
        <w:rPr>
          <w:rFonts w:cs="Arial"/>
          <w:sz w:val="16"/>
          <w:szCs w:val="16"/>
        </w:rPr>
      </w:pPr>
    </w:p>
    <w:p w14:paraId="19E83A78"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2.2.6.1.2. Las entidades vinculadas de la entidad aseguradora no pueden tener la condición de titular de derechos reales o alguno similar sobre el bien raíz objeto de inversión. </w:t>
      </w:r>
    </w:p>
    <w:p w14:paraId="7D17CE7A" w14:textId="77777777" w:rsidR="00BB0A30" w:rsidRPr="008270B7" w:rsidRDefault="00BB0A30" w:rsidP="008270B7">
      <w:pPr>
        <w:tabs>
          <w:tab w:val="left" w:pos="720"/>
        </w:tabs>
        <w:jc w:val="both"/>
        <w:rPr>
          <w:rFonts w:cs="Arial"/>
          <w:sz w:val="16"/>
          <w:szCs w:val="16"/>
        </w:rPr>
      </w:pPr>
    </w:p>
    <w:p w14:paraId="15592A11"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2.2.6.1.3. Los bienes raíces deben ser productivos, esto es, al momento de computarse como inversión de las reservas técnicas, los mismos deben ser objeto de un contrato de arrendamiento o concesión. Este contrato debe tener, como mínimo, un (1) año de duración y debe generar ingresos hacia la entidad aseguradora desde el momento mismo de su clasificación como activo que respalda las reservas técnicas. Lo anterior no obsta para que el término de duración del contrato se vaya reduciendo con el transcurso de la ejecución </w:t>
      </w:r>
      <w:proofErr w:type="gramStart"/>
      <w:r w:rsidRPr="008270B7">
        <w:rPr>
          <w:rFonts w:cs="Arial"/>
          <w:sz w:val="16"/>
          <w:szCs w:val="16"/>
        </w:rPr>
        <w:t>del mismo</w:t>
      </w:r>
      <w:proofErr w:type="gramEnd"/>
      <w:r w:rsidRPr="008270B7">
        <w:rPr>
          <w:rFonts w:cs="Arial"/>
          <w:sz w:val="16"/>
          <w:szCs w:val="16"/>
        </w:rPr>
        <w:t>.</w:t>
      </w:r>
    </w:p>
    <w:p w14:paraId="18AF7883" w14:textId="77777777" w:rsidR="00BB0A30" w:rsidRPr="008270B7" w:rsidRDefault="00BB0A30" w:rsidP="008270B7">
      <w:pPr>
        <w:tabs>
          <w:tab w:val="left" w:pos="720"/>
        </w:tabs>
        <w:jc w:val="both"/>
        <w:rPr>
          <w:rFonts w:cs="Arial"/>
          <w:sz w:val="16"/>
          <w:szCs w:val="16"/>
        </w:rPr>
      </w:pPr>
    </w:p>
    <w:p w14:paraId="1EAF051F" w14:textId="77777777" w:rsidR="00BB0A30" w:rsidRPr="008270B7" w:rsidRDefault="00BB0A30" w:rsidP="008270B7">
      <w:pPr>
        <w:tabs>
          <w:tab w:val="left" w:pos="720"/>
        </w:tabs>
        <w:jc w:val="both"/>
        <w:rPr>
          <w:rFonts w:cs="Arial"/>
          <w:sz w:val="16"/>
          <w:szCs w:val="16"/>
        </w:rPr>
      </w:pPr>
      <w:r w:rsidRPr="008270B7">
        <w:rPr>
          <w:rFonts w:cs="Arial"/>
          <w:sz w:val="16"/>
          <w:szCs w:val="16"/>
        </w:rPr>
        <w:t>En ese sentido, no se pueden computar como inversión de reservas técnicas aquellas inversiones sobre bienes raíces no productivos. Por lo anterior, estas inversiones tendrán el tratamiento de inversiones de libre inversión de las que trata el art. 2.31.3.1.15 del Decreto 2555 de 2010.</w:t>
      </w:r>
    </w:p>
    <w:p w14:paraId="3B642D56" w14:textId="77777777" w:rsidR="00BB0A30" w:rsidRPr="008270B7" w:rsidRDefault="00BB0A30" w:rsidP="008270B7">
      <w:pPr>
        <w:tabs>
          <w:tab w:val="left" w:pos="720"/>
        </w:tabs>
        <w:jc w:val="both"/>
        <w:rPr>
          <w:rFonts w:cs="Arial"/>
          <w:sz w:val="16"/>
          <w:szCs w:val="16"/>
        </w:rPr>
      </w:pPr>
    </w:p>
    <w:p w14:paraId="0D2C0321"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Si un bien raíz deja de ser productivo, la entidad aseguradora tendrá un término de seis (6) meses para volverlo productivo. Si transcurrido dicho término, la entidad aseguradora no ha suscrito un nuevo contrato de arrendamiento o concesión, la respectiva entidad deberá darle el tratamiento de inversiones de libre inversión hasta cuando se celebre un nuevo contrato en las condiciones mencionadas en el primer inciso de este </w:t>
      </w:r>
      <w:proofErr w:type="spellStart"/>
      <w:r w:rsidRPr="008270B7">
        <w:rPr>
          <w:rFonts w:cs="Arial"/>
          <w:sz w:val="16"/>
          <w:szCs w:val="16"/>
        </w:rPr>
        <w:t>subnumeral</w:t>
      </w:r>
      <w:proofErr w:type="spellEnd"/>
      <w:r w:rsidRPr="008270B7">
        <w:rPr>
          <w:rFonts w:cs="Arial"/>
          <w:sz w:val="16"/>
          <w:szCs w:val="16"/>
        </w:rPr>
        <w:t xml:space="preserve">. </w:t>
      </w:r>
    </w:p>
    <w:p w14:paraId="6C80B605" w14:textId="77777777" w:rsidR="00BB0A30" w:rsidRPr="008270B7" w:rsidRDefault="00BB0A30" w:rsidP="008270B7">
      <w:pPr>
        <w:tabs>
          <w:tab w:val="left" w:pos="720"/>
        </w:tabs>
        <w:jc w:val="both"/>
        <w:rPr>
          <w:rFonts w:cs="Arial"/>
          <w:sz w:val="16"/>
          <w:szCs w:val="16"/>
        </w:rPr>
      </w:pPr>
    </w:p>
    <w:p w14:paraId="20D3BE07" w14:textId="77777777" w:rsidR="00BB0A30" w:rsidRPr="008270B7" w:rsidRDefault="00BB0A30" w:rsidP="008270B7">
      <w:pPr>
        <w:tabs>
          <w:tab w:val="left" w:pos="720"/>
        </w:tabs>
        <w:jc w:val="both"/>
        <w:rPr>
          <w:rFonts w:cs="Arial"/>
          <w:sz w:val="16"/>
          <w:szCs w:val="16"/>
        </w:rPr>
      </w:pPr>
      <w:r w:rsidRPr="008270B7">
        <w:rPr>
          <w:rFonts w:cs="Arial"/>
          <w:sz w:val="16"/>
          <w:szCs w:val="16"/>
        </w:rPr>
        <w:t>2.2.6.1.4. Las entidades aseguradoras no pueden tener la condición de titular de derechos reales o alguno similar sobre el bien raíz objeto de inversión, al momento de la inversión.</w:t>
      </w:r>
    </w:p>
    <w:p w14:paraId="762DCEB5" w14:textId="77777777" w:rsidR="00BB0A30" w:rsidRPr="008270B7" w:rsidRDefault="00BB0A30" w:rsidP="008270B7">
      <w:pPr>
        <w:tabs>
          <w:tab w:val="left" w:pos="720"/>
        </w:tabs>
        <w:jc w:val="both"/>
        <w:rPr>
          <w:rFonts w:cs="Arial"/>
          <w:sz w:val="16"/>
          <w:szCs w:val="16"/>
        </w:rPr>
      </w:pPr>
    </w:p>
    <w:p w14:paraId="565FF07C" w14:textId="77777777" w:rsidR="00BB0A30" w:rsidRPr="008270B7" w:rsidRDefault="00BB0A30" w:rsidP="008270B7">
      <w:pPr>
        <w:tabs>
          <w:tab w:val="left" w:pos="720"/>
        </w:tabs>
        <w:jc w:val="both"/>
        <w:rPr>
          <w:rFonts w:cs="Arial"/>
          <w:sz w:val="16"/>
          <w:szCs w:val="16"/>
        </w:rPr>
      </w:pPr>
      <w:r w:rsidRPr="008270B7">
        <w:rPr>
          <w:rFonts w:cs="Arial"/>
          <w:sz w:val="16"/>
          <w:szCs w:val="16"/>
        </w:rPr>
        <w:t>2.2.6.1.5. Los bienes raíces productivos deben estar ubicados dentro del territorio colombiano.</w:t>
      </w:r>
    </w:p>
    <w:p w14:paraId="3999B344" w14:textId="77777777" w:rsidR="00BB0A30" w:rsidRPr="008270B7" w:rsidRDefault="00BB0A30" w:rsidP="008270B7">
      <w:pPr>
        <w:tabs>
          <w:tab w:val="left" w:pos="720"/>
        </w:tabs>
        <w:jc w:val="both"/>
        <w:rPr>
          <w:rFonts w:cs="Arial"/>
          <w:sz w:val="16"/>
          <w:szCs w:val="16"/>
        </w:rPr>
      </w:pPr>
    </w:p>
    <w:p w14:paraId="587F18F5" w14:textId="77777777" w:rsidR="00BB0A30" w:rsidRPr="008270B7" w:rsidRDefault="00BB0A30" w:rsidP="008270B7">
      <w:pPr>
        <w:tabs>
          <w:tab w:val="left" w:pos="720"/>
        </w:tabs>
        <w:jc w:val="both"/>
        <w:rPr>
          <w:rFonts w:cs="Arial"/>
          <w:sz w:val="16"/>
          <w:szCs w:val="16"/>
        </w:rPr>
      </w:pPr>
      <w:r w:rsidRPr="008270B7">
        <w:rPr>
          <w:rFonts w:cs="Arial"/>
          <w:sz w:val="16"/>
          <w:szCs w:val="16"/>
        </w:rPr>
        <w:t>2.2.6.1.6. La inversión debe realizarse de acuerdo con lo indicado en el numeral 2.2.6.2 de este Capítulo.</w:t>
      </w:r>
    </w:p>
    <w:p w14:paraId="1EED665E" w14:textId="77777777" w:rsidR="00BB0A30" w:rsidRPr="008270B7" w:rsidRDefault="00BB0A30" w:rsidP="008270B7">
      <w:pPr>
        <w:tabs>
          <w:tab w:val="left" w:pos="720"/>
        </w:tabs>
        <w:jc w:val="both"/>
        <w:rPr>
          <w:rFonts w:cs="Arial"/>
          <w:sz w:val="16"/>
          <w:szCs w:val="16"/>
        </w:rPr>
      </w:pPr>
    </w:p>
    <w:p w14:paraId="147CE530"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2.2.6.1.7. El bien raíz productivo debe estar asegurado, como mínimo, contra los riesgos de incendio y terremoto durante la vigencia del contrato de arrendamiento o concesión. El valor asegurado debe corresponder al valor de reconstrucción del bien raíz productivo. </w:t>
      </w:r>
    </w:p>
    <w:p w14:paraId="16712F64" w14:textId="77777777" w:rsidR="00BB0A30" w:rsidRPr="008270B7" w:rsidRDefault="00BB0A30" w:rsidP="008270B7">
      <w:pPr>
        <w:tabs>
          <w:tab w:val="left" w:pos="720"/>
        </w:tabs>
        <w:jc w:val="both"/>
        <w:rPr>
          <w:rFonts w:cs="Arial"/>
          <w:sz w:val="16"/>
          <w:szCs w:val="16"/>
        </w:rPr>
      </w:pPr>
    </w:p>
    <w:p w14:paraId="0F33D7B6" w14:textId="77777777" w:rsidR="00BB0A30" w:rsidRPr="008270B7" w:rsidRDefault="00BB0A30" w:rsidP="008270B7">
      <w:pPr>
        <w:tabs>
          <w:tab w:val="left" w:pos="720"/>
        </w:tabs>
        <w:jc w:val="both"/>
        <w:rPr>
          <w:rFonts w:cs="Arial"/>
          <w:sz w:val="16"/>
          <w:szCs w:val="16"/>
        </w:rPr>
      </w:pPr>
      <w:r w:rsidRPr="008270B7">
        <w:rPr>
          <w:rFonts w:cs="Arial"/>
          <w:sz w:val="16"/>
          <w:szCs w:val="16"/>
        </w:rPr>
        <w:t>2.2.6.1.8. En consonancia con lo establecido en el numeral 3 del art. 2.31.3.1.13 del Decreto 2555 de 2010, el bien raíz productivo debe mantenerse libre de embargos, gravámenes, medidas preventivas o de cualquier naturaleza que impidan su libre cesión o transferencia. Por lo tanto, cualquier afectación de las mencionadas impide que la inversión en el bien raíz sea computada como inversión de las reservas técnicas.</w:t>
      </w:r>
    </w:p>
    <w:p w14:paraId="52E7266D" w14:textId="77777777" w:rsidR="00BB0A30" w:rsidRPr="008270B7" w:rsidRDefault="00BB0A30" w:rsidP="008270B7">
      <w:pPr>
        <w:tabs>
          <w:tab w:val="left" w:pos="720"/>
        </w:tabs>
        <w:jc w:val="both"/>
        <w:rPr>
          <w:rFonts w:cs="Arial"/>
          <w:sz w:val="16"/>
          <w:szCs w:val="16"/>
        </w:rPr>
      </w:pPr>
    </w:p>
    <w:p w14:paraId="08B9FE1D"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Siempre que se trate de los bienes inmuebles relativos a la renta vitalicia inmobiliaria descritos en el Título 7 del Libro 31 de la Parte 2 del Decreto 2555 de 2010, para que la inversión en bienes raíces no productivos sea admisible es necesario que se cumplan con los requisitos definidos en los </w:t>
      </w:r>
      <w:proofErr w:type="spellStart"/>
      <w:r w:rsidRPr="008270B7">
        <w:rPr>
          <w:rFonts w:cs="Arial"/>
          <w:sz w:val="16"/>
          <w:szCs w:val="16"/>
        </w:rPr>
        <w:t>subnumerales</w:t>
      </w:r>
      <w:proofErr w:type="spellEnd"/>
      <w:r w:rsidRPr="008270B7">
        <w:rPr>
          <w:rFonts w:cs="Arial"/>
          <w:sz w:val="16"/>
          <w:szCs w:val="16"/>
        </w:rPr>
        <w:t xml:space="preserve"> 2.2.6.1.2, 2.2.6.1.4., 2.2.6.1.5, 2.2.6.1.7 y 2.2.6.1.8. del presente Capítulo. En todo caso, en atención a la naturaleza de la operación de renta vitalicia inmobiliaria, se considera admisible la inversión en dichos bienes raíces no productivos a pesar del usufructo al tomador y/o sus beneficiarios al momento de la transferencia de la nuda propiedad a la entidad aseguradora.</w:t>
      </w:r>
    </w:p>
    <w:p w14:paraId="62566232" w14:textId="77777777" w:rsidR="00BB0A30" w:rsidRPr="008270B7" w:rsidRDefault="00BB0A30" w:rsidP="008270B7">
      <w:pPr>
        <w:tabs>
          <w:tab w:val="left" w:pos="720"/>
        </w:tabs>
        <w:jc w:val="both"/>
        <w:rPr>
          <w:rFonts w:cs="Arial"/>
          <w:sz w:val="16"/>
          <w:szCs w:val="16"/>
        </w:rPr>
      </w:pPr>
    </w:p>
    <w:p w14:paraId="2701F2D4" w14:textId="77777777" w:rsidR="00BB0A30" w:rsidRPr="008270B7" w:rsidRDefault="00BB0A30" w:rsidP="008270B7">
      <w:pPr>
        <w:tabs>
          <w:tab w:val="left" w:pos="720"/>
        </w:tabs>
        <w:jc w:val="both"/>
        <w:rPr>
          <w:rFonts w:cs="Arial"/>
          <w:sz w:val="16"/>
          <w:szCs w:val="16"/>
        </w:rPr>
      </w:pPr>
      <w:r w:rsidRPr="008270B7">
        <w:rPr>
          <w:rFonts w:cs="Arial"/>
          <w:sz w:val="16"/>
          <w:szCs w:val="16"/>
        </w:rPr>
        <w:t>2.2.6.2. Política y procedimiento para realizar la inversión en bienes raíces productivos.</w:t>
      </w:r>
    </w:p>
    <w:p w14:paraId="10CD809E" w14:textId="77777777" w:rsidR="00BB0A30" w:rsidRPr="008270B7" w:rsidRDefault="00BB0A30" w:rsidP="008270B7">
      <w:pPr>
        <w:tabs>
          <w:tab w:val="left" w:pos="720"/>
        </w:tabs>
        <w:jc w:val="both"/>
        <w:rPr>
          <w:rFonts w:cs="Arial"/>
          <w:sz w:val="16"/>
          <w:szCs w:val="16"/>
        </w:rPr>
      </w:pPr>
    </w:p>
    <w:p w14:paraId="36CBD975" w14:textId="77777777" w:rsidR="00BB0A30" w:rsidRPr="008270B7" w:rsidRDefault="00BB0A30" w:rsidP="008270B7">
      <w:pPr>
        <w:tabs>
          <w:tab w:val="left" w:pos="720"/>
        </w:tabs>
        <w:jc w:val="both"/>
        <w:rPr>
          <w:rFonts w:cs="Arial"/>
          <w:sz w:val="16"/>
          <w:szCs w:val="16"/>
        </w:rPr>
      </w:pPr>
      <w:r w:rsidRPr="008270B7">
        <w:rPr>
          <w:rFonts w:cs="Arial"/>
          <w:sz w:val="16"/>
          <w:szCs w:val="16"/>
        </w:rPr>
        <w:t>La junta directiva de la entidad aseguradora debe establecer una política de inversión para esta clase de inversiones. La política debe indicar, como mínimo, (i) las características de los bienes raíces productivos en los cuales la entidad aseguradora podrá realizar la inversión, (</w:t>
      </w:r>
      <w:proofErr w:type="spellStart"/>
      <w:r w:rsidRPr="008270B7">
        <w:rPr>
          <w:rFonts w:cs="Arial"/>
          <w:sz w:val="16"/>
          <w:szCs w:val="16"/>
        </w:rPr>
        <w:t>ii</w:t>
      </w:r>
      <w:proofErr w:type="spellEnd"/>
      <w:r w:rsidRPr="008270B7">
        <w:rPr>
          <w:rFonts w:cs="Arial"/>
          <w:sz w:val="16"/>
          <w:szCs w:val="16"/>
        </w:rPr>
        <w:t>) los responsables de tomar la decisión sobre la realización o cancelación de la inversión y (</w:t>
      </w:r>
      <w:proofErr w:type="spellStart"/>
      <w:r w:rsidRPr="008270B7">
        <w:rPr>
          <w:rFonts w:cs="Arial"/>
          <w:sz w:val="16"/>
          <w:szCs w:val="16"/>
        </w:rPr>
        <w:t>iii</w:t>
      </w:r>
      <w:proofErr w:type="spellEnd"/>
      <w:r w:rsidRPr="008270B7">
        <w:rPr>
          <w:rFonts w:cs="Arial"/>
          <w:sz w:val="16"/>
          <w:szCs w:val="16"/>
        </w:rPr>
        <w:t xml:space="preserve">) el contenido de los informes que el responsable de la inversión deberá presentar al comité de riesgos de la entidad aseguradora en el que se detallen las características de las inversiones, un análisis de los riesgos a los que están expuestas y el informe de valoración. Adicionalmente, el comité de riesgos debe verificar que en la valoración de las inversiones se tuvo en cuenta lo dispuesto en el </w:t>
      </w:r>
      <w:proofErr w:type="spellStart"/>
      <w:r w:rsidRPr="008270B7">
        <w:rPr>
          <w:rFonts w:cs="Arial"/>
          <w:sz w:val="16"/>
          <w:szCs w:val="16"/>
        </w:rPr>
        <w:t>subnumeral</w:t>
      </w:r>
      <w:proofErr w:type="spellEnd"/>
      <w:r w:rsidRPr="008270B7">
        <w:rPr>
          <w:rFonts w:cs="Arial"/>
          <w:sz w:val="16"/>
          <w:szCs w:val="16"/>
        </w:rPr>
        <w:t xml:space="preserve"> 2.2.6.3 de este Capítulo.</w:t>
      </w:r>
    </w:p>
    <w:p w14:paraId="45622FDA" w14:textId="77777777" w:rsidR="00BB0A30" w:rsidRPr="008270B7" w:rsidRDefault="00BB0A30" w:rsidP="008270B7">
      <w:pPr>
        <w:tabs>
          <w:tab w:val="left" w:pos="720"/>
        </w:tabs>
        <w:jc w:val="both"/>
        <w:rPr>
          <w:rFonts w:cs="Arial"/>
          <w:sz w:val="16"/>
          <w:szCs w:val="16"/>
        </w:rPr>
      </w:pPr>
    </w:p>
    <w:p w14:paraId="62D28992" w14:textId="77777777" w:rsidR="00BB0A30" w:rsidRPr="008270B7" w:rsidRDefault="00BB0A30" w:rsidP="008270B7">
      <w:pPr>
        <w:tabs>
          <w:tab w:val="left" w:pos="720"/>
        </w:tabs>
        <w:jc w:val="both"/>
        <w:rPr>
          <w:rFonts w:cs="Arial"/>
          <w:sz w:val="16"/>
          <w:szCs w:val="16"/>
        </w:rPr>
      </w:pPr>
      <w:r w:rsidRPr="008270B7">
        <w:rPr>
          <w:rFonts w:cs="Arial"/>
          <w:sz w:val="16"/>
          <w:szCs w:val="16"/>
        </w:rPr>
        <w:t>2.2.6.3. Valoración de los activos.</w:t>
      </w:r>
    </w:p>
    <w:p w14:paraId="41F49BE7" w14:textId="77777777" w:rsidR="00BB0A30" w:rsidRPr="008270B7" w:rsidRDefault="00BB0A30" w:rsidP="008270B7">
      <w:pPr>
        <w:tabs>
          <w:tab w:val="left" w:pos="720"/>
        </w:tabs>
        <w:jc w:val="both"/>
        <w:rPr>
          <w:rFonts w:cs="Arial"/>
          <w:sz w:val="16"/>
          <w:szCs w:val="16"/>
        </w:rPr>
      </w:pPr>
    </w:p>
    <w:p w14:paraId="600DBC0A"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Las inversiones en bienes raíces productivos deben valorarse teniendo en cuenta el avalúo catastral del </w:t>
      </w:r>
      <w:proofErr w:type="gramStart"/>
      <w:r w:rsidRPr="008270B7">
        <w:rPr>
          <w:rFonts w:cs="Arial"/>
          <w:sz w:val="16"/>
          <w:szCs w:val="16"/>
        </w:rPr>
        <w:t>inmueble</w:t>
      </w:r>
      <w:proofErr w:type="gramEnd"/>
      <w:r w:rsidRPr="008270B7">
        <w:rPr>
          <w:rFonts w:cs="Arial"/>
          <w:sz w:val="16"/>
          <w:szCs w:val="16"/>
        </w:rPr>
        <w:t xml:space="preserve"> así como la destinación que tenga el bien raíz, esto es, residencial, comercial, industrial u otra y cumplir con las siguientes instrucciones:</w:t>
      </w:r>
    </w:p>
    <w:p w14:paraId="09F3C4A5" w14:textId="77777777" w:rsidR="00BB0A30" w:rsidRPr="008270B7" w:rsidRDefault="00BB0A30" w:rsidP="008270B7">
      <w:pPr>
        <w:tabs>
          <w:tab w:val="left" w:pos="720"/>
        </w:tabs>
        <w:jc w:val="both"/>
        <w:rPr>
          <w:rFonts w:cs="Arial"/>
          <w:sz w:val="16"/>
          <w:szCs w:val="16"/>
        </w:rPr>
      </w:pPr>
    </w:p>
    <w:p w14:paraId="22AFEAFD" w14:textId="77777777" w:rsidR="00BB0A30" w:rsidRPr="008270B7" w:rsidRDefault="00BB0A30" w:rsidP="008270B7">
      <w:pPr>
        <w:tabs>
          <w:tab w:val="left" w:pos="720"/>
        </w:tabs>
        <w:jc w:val="both"/>
        <w:rPr>
          <w:rFonts w:cs="Arial"/>
          <w:sz w:val="16"/>
          <w:szCs w:val="16"/>
        </w:rPr>
      </w:pPr>
      <w:r w:rsidRPr="008270B7">
        <w:rPr>
          <w:rFonts w:cs="Arial"/>
          <w:sz w:val="16"/>
          <w:szCs w:val="16"/>
        </w:rPr>
        <w:t>2.2.6.3.1. Valorarse por el precio que determine el proveedor de precios para valoración designado como oficial por la entidad aseguradora</w:t>
      </w:r>
    </w:p>
    <w:p w14:paraId="67CBAED4" w14:textId="12F02B0A" w:rsidR="00BB0A30" w:rsidRPr="008270B7" w:rsidRDefault="00BB0A30" w:rsidP="008270B7">
      <w:pPr>
        <w:tabs>
          <w:tab w:val="left" w:pos="720"/>
        </w:tabs>
        <w:jc w:val="both"/>
        <w:rPr>
          <w:rFonts w:cs="Arial"/>
          <w:sz w:val="16"/>
          <w:szCs w:val="16"/>
        </w:rPr>
        <w:sectPr w:rsidR="00BB0A30" w:rsidRPr="008270B7" w:rsidSect="001703CE">
          <w:headerReference w:type="even" r:id="rId58"/>
          <w:headerReference w:type="default" r:id="rId59"/>
          <w:footerReference w:type="even" r:id="rId60"/>
          <w:footerReference w:type="default" r:id="rId61"/>
          <w:headerReference w:type="first" r:id="rId62"/>
          <w:footerReference w:type="first" r:id="rId63"/>
          <w:pgSz w:w="12240" w:h="18720" w:code="257"/>
          <w:pgMar w:top="1417" w:right="1701" w:bottom="1417" w:left="1701" w:header="709" w:footer="865" w:gutter="0"/>
          <w:pgNumType w:start="13"/>
          <w:cols w:space="708"/>
          <w:titlePg/>
          <w:docGrid w:linePitch="360"/>
        </w:sectPr>
      </w:pPr>
    </w:p>
    <w:p w14:paraId="0BFEE066" w14:textId="77777777" w:rsidR="00BB0A30" w:rsidRPr="008270B7" w:rsidRDefault="00BB0A30" w:rsidP="008270B7">
      <w:pPr>
        <w:tabs>
          <w:tab w:val="left" w:pos="720"/>
        </w:tabs>
        <w:jc w:val="both"/>
        <w:rPr>
          <w:rFonts w:cs="Arial"/>
          <w:sz w:val="16"/>
          <w:szCs w:val="16"/>
        </w:rPr>
      </w:pPr>
      <w:r w:rsidRPr="008270B7">
        <w:rPr>
          <w:rFonts w:cs="Arial"/>
          <w:sz w:val="16"/>
          <w:szCs w:val="16"/>
        </w:rPr>
        <w:lastRenderedPageBreak/>
        <w:t>2.2.6.3.2. Cuando el proveedor de precios para valoración designado como oficial por la entidad aseguradora no cuente con una metodología de valoración para este tipo de inversiones, se debe cumplir con las siguientes instrucciones:</w:t>
      </w:r>
    </w:p>
    <w:p w14:paraId="4BF35350" w14:textId="77777777" w:rsidR="00BB0A30" w:rsidRPr="008270B7" w:rsidRDefault="00BB0A30" w:rsidP="008270B7">
      <w:pPr>
        <w:tabs>
          <w:tab w:val="left" w:pos="720"/>
        </w:tabs>
        <w:jc w:val="both"/>
        <w:rPr>
          <w:rFonts w:cs="Arial"/>
          <w:sz w:val="16"/>
          <w:szCs w:val="16"/>
        </w:rPr>
      </w:pPr>
    </w:p>
    <w:p w14:paraId="50D00EFC"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2.2.6.3.2.1. El avalúo debe ser realizado por un </w:t>
      </w:r>
      <w:proofErr w:type="spellStart"/>
      <w:r w:rsidRPr="008270B7">
        <w:rPr>
          <w:rFonts w:cs="Arial"/>
          <w:sz w:val="16"/>
          <w:szCs w:val="16"/>
        </w:rPr>
        <w:t>avaluador</w:t>
      </w:r>
      <w:proofErr w:type="spellEnd"/>
      <w:r w:rsidRPr="008270B7">
        <w:rPr>
          <w:rFonts w:cs="Arial"/>
          <w:sz w:val="16"/>
          <w:szCs w:val="16"/>
        </w:rPr>
        <w:t xml:space="preserve"> independiente de la entidad aseguradora, elegido por la junta directiva, inscrito en el Registro Nacional de </w:t>
      </w:r>
      <w:proofErr w:type="spellStart"/>
      <w:r w:rsidRPr="008270B7">
        <w:rPr>
          <w:rFonts w:cs="Arial"/>
          <w:sz w:val="16"/>
          <w:szCs w:val="16"/>
        </w:rPr>
        <w:t>Avaluadores</w:t>
      </w:r>
      <w:proofErr w:type="spellEnd"/>
      <w:r w:rsidRPr="008270B7">
        <w:rPr>
          <w:rFonts w:cs="Arial"/>
          <w:sz w:val="16"/>
          <w:szCs w:val="16"/>
        </w:rPr>
        <w:t xml:space="preserve"> y cuyos honorarios no pueden calcularse en función del valor de los activos avaluados. En todo caso, el avalúo debe atender, como mínimo, los criterios establecidos en el Decreto 422 de 2000 y demás normas que lo adicionen, modifiquen o sustituyan.</w:t>
      </w:r>
    </w:p>
    <w:p w14:paraId="58DBBB1A" w14:textId="77777777" w:rsidR="00BB0A30" w:rsidRPr="008270B7" w:rsidRDefault="00BB0A30" w:rsidP="008270B7">
      <w:pPr>
        <w:tabs>
          <w:tab w:val="left" w:pos="720"/>
        </w:tabs>
        <w:jc w:val="both"/>
        <w:rPr>
          <w:rFonts w:cs="Arial"/>
          <w:sz w:val="16"/>
          <w:szCs w:val="16"/>
        </w:rPr>
      </w:pPr>
    </w:p>
    <w:p w14:paraId="00A5C152" w14:textId="77777777" w:rsidR="00BB0A30" w:rsidRPr="008270B7" w:rsidRDefault="00BB0A30" w:rsidP="008270B7">
      <w:pPr>
        <w:tabs>
          <w:tab w:val="left" w:pos="720"/>
        </w:tabs>
        <w:jc w:val="both"/>
        <w:rPr>
          <w:rFonts w:cs="Arial"/>
          <w:sz w:val="16"/>
          <w:szCs w:val="16"/>
        </w:rPr>
      </w:pPr>
      <w:r w:rsidRPr="008270B7">
        <w:rPr>
          <w:rFonts w:cs="Arial"/>
          <w:sz w:val="16"/>
          <w:szCs w:val="16"/>
        </w:rPr>
        <w:t>2.2.6.3.2.2. La técnica utilizada en el avalúo debe incluir la estimación y el descuento de los flujos de caja que genere el bien raíz productivo. La tasa de descuento a utilizar para descontar los flujos de caja no puede ser menor a aquella tasa utilizada para el cálculo de la reserva matemática que se va a respaldar con este activo. Si la inversión en bienes raíces productivos respalda más de una póliza de seguro, se aplicará la tasa más alta utilizada para el cálculo de la reserva matemática de dichas pólizas de seguro</w:t>
      </w:r>
    </w:p>
    <w:p w14:paraId="71F61757" w14:textId="77777777" w:rsidR="00BB0A30" w:rsidRPr="008270B7" w:rsidRDefault="00BB0A30" w:rsidP="008270B7">
      <w:pPr>
        <w:tabs>
          <w:tab w:val="left" w:pos="720"/>
        </w:tabs>
        <w:jc w:val="both"/>
        <w:rPr>
          <w:rFonts w:cs="Arial"/>
          <w:sz w:val="16"/>
          <w:szCs w:val="16"/>
        </w:rPr>
      </w:pPr>
    </w:p>
    <w:p w14:paraId="08EA596C" w14:textId="77777777" w:rsidR="00BB0A30" w:rsidRPr="008270B7" w:rsidRDefault="00BB0A30" w:rsidP="008270B7">
      <w:pPr>
        <w:tabs>
          <w:tab w:val="left" w:pos="720"/>
        </w:tabs>
        <w:jc w:val="both"/>
        <w:rPr>
          <w:rFonts w:cs="Arial"/>
          <w:sz w:val="16"/>
          <w:szCs w:val="16"/>
        </w:rPr>
      </w:pPr>
      <w:r w:rsidRPr="008270B7">
        <w:rPr>
          <w:rFonts w:cs="Arial"/>
          <w:sz w:val="16"/>
          <w:szCs w:val="16"/>
        </w:rPr>
        <w:t>Las proyecciones de los flujos deben corresponder a aquellos ingresos establecidos en el contrato de arrendamiento o concesión del bien raíz productivo.</w:t>
      </w:r>
    </w:p>
    <w:p w14:paraId="21754A25" w14:textId="77777777" w:rsidR="00BB0A30" w:rsidRPr="008270B7" w:rsidRDefault="00BB0A30" w:rsidP="008270B7">
      <w:pPr>
        <w:tabs>
          <w:tab w:val="left" w:pos="720"/>
        </w:tabs>
        <w:jc w:val="both"/>
        <w:rPr>
          <w:rFonts w:cs="Arial"/>
          <w:sz w:val="16"/>
          <w:szCs w:val="16"/>
        </w:rPr>
      </w:pPr>
    </w:p>
    <w:p w14:paraId="2BAA32FA" w14:textId="77777777" w:rsidR="00BB0A30" w:rsidRPr="008270B7" w:rsidRDefault="00BB0A30" w:rsidP="008270B7">
      <w:pPr>
        <w:tabs>
          <w:tab w:val="left" w:pos="720"/>
        </w:tabs>
        <w:jc w:val="both"/>
        <w:rPr>
          <w:rFonts w:cs="Arial"/>
          <w:sz w:val="16"/>
          <w:szCs w:val="16"/>
        </w:rPr>
      </w:pPr>
      <w:r w:rsidRPr="008270B7">
        <w:rPr>
          <w:rFonts w:cs="Arial"/>
          <w:sz w:val="16"/>
          <w:szCs w:val="16"/>
        </w:rPr>
        <w:t>Es necesario que en el informe de valoración del bien raíz se revelen todos los supuestos de rentabilidad y riesgo que se utilizaron para calcular la tasa de descuento y este debe estar a disposición de la SFC.</w:t>
      </w:r>
    </w:p>
    <w:p w14:paraId="3B7269E0" w14:textId="77777777" w:rsidR="00BB0A30" w:rsidRPr="008270B7" w:rsidRDefault="00BB0A30" w:rsidP="008270B7">
      <w:pPr>
        <w:tabs>
          <w:tab w:val="left" w:pos="720"/>
        </w:tabs>
        <w:jc w:val="both"/>
        <w:rPr>
          <w:rFonts w:cs="Arial"/>
          <w:sz w:val="16"/>
          <w:szCs w:val="16"/>
        </w:rPr>
      </w:pPr>
    </w:p>
    <w:p w14:paraId="2F549409" w14:textId="77777777" w:rsidR="00BB0A30" w:rsidRPr="008270B7" w:rsidRDefault="00BB0A30" w:rsidP="008270B7">
      <w:pPr>
        <w:tabs>
          <w:tab w:val="left" w:pos="720"/>
        </w:tabs>
        <w:jc w:val="both"/>
        <w:rPr>
          <w:rFonts w:cs="Arial"/>
          <w:sz w:val="16"/>
          <w:szCs w:val="16"/>
        </w:rPr>
      </w:pPr>
      <w:r w:rsidRPr="008270B7">
        <w:rPr>
          <w:rFonts w:cs="Arial"/>
          <w:sz w:val="16"/>
          <w:szCs w:val="16"/>
        </w:rPr>
        <w:t>2.2.6.3.3. Al avalúo, la entidad aseguradora debe aplicarle un ajuste por la iliquidez asociada al activo, para lo cual la entidad aseguradora debe establecer la metodología para este cálculo y tenerla a disposición de la SFC para su consulta en cualquier momento.</w:t>
      </w:r>
    </w:p>
    <w:p w14:paraId="5ABFF90E" w14:textId="77777777" w:rsidR="00BB0A30" w:rsidRPr="008270B7" w:rsidRDefault="00BB0A30" w:rsidP="008270B7">
      <w:pPr>
        <w:tabs>
          <w:tab w:val="left" w:pos="720"/>
        </w:tabs>
        <w:jc w:val="both"/>
        <w:rPr>
          <w:rFonts w:cs="Arial"/>
          <w:sz w:val="16"/>
          <w:szCs w:val="16"/>
        </w:rPr>
      </w:pPr>
    </w:p>
    <w:p w14:paraId="11C27B7C" w14:textId="77777777" w:rsidR="00BB0A30" w:rsidRPr="008270B7" w:rsidRDefault="00BB0A30" w:rsidP="008270B7">
      <w:pPr>
        <w:tabs>
          <w:tab w:val="left" w:pos="720"/>
        </w:tabs>
        <w:jc w:val="both"/>
        <w:rPr>
          <w:rFonts w:cs="Arial"/>
          <w:sz w:val="16"/>
          <w:szCs w:val="16"/>
        </w:rPr>
      </w:pPr>
      <w:r w:rsidRPr="008270B7">
        <w:rPr>
          <w:rFonts w:cs="Arial"/>
          <w:sz w:val="16"/>
          <w:szCs w:val="16"/>
        </w:rPr>
        <w:t xml:space="preserve">2.2.6.3.4. Los ingresos provenientes de los bienes raíces productivos por concepto de los contratos de arrendamiento o concesión deben ser actualizados anualmente, como mínimo, con base en la variación del índice de precios al consumidor (IPC) de los últimos doce (12) meses. Por lo anterior, las entidades aseguradoras deben incluir en los contratos que celebren una condición que cumpla con lo dispuesto en este </w:t>
      </w:r>
      <w:proofErr w:type="spellStart"/>
      <w:r w:rsidRPr="008270B7">
        <w:rPr>
          <w:rFonts w:cs="Arial"/>
          <w:sz w:val="16"/>
          <w:szCs w:val="16"/>
        </w:rPr>
        <w:t>subnumeral</w:t>
      </w:r>
      <w:proofErr w:type="spellEnd"/>
      <w:r w:rsidRPr="008270B7">
        <w:rPr>
          <w:rFonts w:cs="Arial"/>
          <w:sz w:val="16"/>
          <w:szCs w:val="16"/>
        </w:rPr>
        <w:t>.</w:t>
      </w:r>
    </w:p>
    <w:p w14:paraId="6D07FF03" w14:textId="77777777" w:rsidR="00BB0A30" w:rsidRPr="008270B7" w:rsidRDefault="00BB0A30" w:rsidP="008270B7">
      <w:pPr>
        <w:tabs>
          <w:tab w:val="left" w:pos="720"/>
        </w:tabs>
        <w:jc w:val="both"/>
        <w:rPr>
          <w:rFonts w:cs="Arial"/>
          <w:sz w:val="16"/>
          <w:szCs w:val="16"/>
        </w:rPr>
      </w:pPr>
    </w:p>
    <w:p w14:paraId="66CF146B" w14:textId="77777777" w:rsidR="00BB0A30" w:rsidRPr="008270B7" w:rsidRDefault="00BB0A30" w:rsidP="008270B7">
      <w:pPr>
        <w:tabs>
          <w:tab w:val="left" w:pos="720"/>
        </w:tabs>
        <w:jc w:val="both"/>
        <w:rPr>
          <w:rFonts w:cs="Arial"/>
          <w:sz w:val="16"/>
          <w:szCs w:val="16"/>
        </w:rPr>
      </w:pPr>
      <w:r w:rsidRPr="008270B7">
        <w:rPr>
          <w:rFonts w:cs="Arial"/>
          <w:sz w:val="16"/>
          <w:szCs w:val="16"/>
        </w:rPr>
        <w:t>2.2.6.3.5. La periodicidad de la valoración del activo no puede ser superior al cierre de ejercicio de la entidad aseguradora. Sin embargo, debe actualizarse ante el indicio o la ocurrencia de eventos que puedan alterar considerablemente la valoración del activo, como un incumplimiento de la contraparte en el pago de los cánones de arrendamiento o el valor de la concesión, así como cambios económicos o de mercado que afecten la medición del valor del bien raíz.</w:t>
      </w:r>
    </w:p>
    <w:p w14:paraId="314F304D" w14:textId="77777777" w:rsidR="00BB0A30" w:rsidRPr="008270B7" w:rsidRDefault="00BB0A30" w:rsidP="008270B7">
      <w:pPr>
        <w:tabs>
          <w:tab w:val="left" w:pos="720"/>
        </w:tabs>
        <w:jc w:val="both"/>
        <w:rPr>
          <w:rFonts w:cs="Arial"/>
          <w:sz w:val="16"/>
          <w:szCs w:val="16"/>
        </w:rPr>
      </w:pPr>
    </w:p>
    <w:p w14:paraId="45FCD53C" w14:textId="77777777" w:rsidR="00BB0A30" w:rsidRPr="008270B7" w:rsidRDefault="00BB0A30" w:rsidP="008270B7">
      <w:pPr>
        <w:tabs>
          <w:tab w:val="left" w:pos="720"/>
        </w:tabs>
        <w:jc w:val="both"/>
        <w:rPr>
          <w:rFonts w:cs="Arial"/>
          <w:sz w:val="16"/>
          <w:szCs w:val="16"/>
        </w:rPr>
      </w:pPr>
      <w:r w:rsidRPr="008270B7">
        <w:rPr>
          <w:rFonts w:cs="Arial"/>
          <w:sz w:val="16"/>
          <w:szCs w:val="16"/>
        </w:rPr>
        <w:t>2.2.6.3.6. Identificación y ocupación de los bienes raíces productivos en el territorio colombiano.</w:t>
      </w:r>
    </w:p>
    <w:p w14:paraId="0F8D41C8" w14:textId="77777777" w:rsidR="00BB0A30" w:rsidRPr="008270B7" w:rsidRDefault="00BB0A30" w:rsidP="008270B7">
      <w:pPr>
        <w:tabs>
          <w:tab w:val="left" w:pos="720"/>
        </w:tabs>
        <w:jc w:val="both"/>
        <w:rPr>
          <w:rFonts w:cs="Arial"/>
          <w:sz w:val="16"/>
          <w:szCs w:val="16"/>
        </w:rPr>
      </w:pPr>
    </w:p>
    <w:p w14:paraId="3921471C" w14:textId="77777777" w:rsidR="00BB0A30" w:rsidRPr="008270B7" w:rsidRDefault="00BB0A30" w:rsidP="008270B7">
      <w:pPr>
        <w:tabs>
          <w:tab w:val="left" w:pos="720"/>
        </w:tabs>
        <w:jc w:val="both"/>
        <w:rPr>
          <w:rFonts w:cs="Arial"/>
          <w:sz w:val="16"/>
          <w:szCs w:val="16"/>
        </w:rPr>
      </w:pPr>
      <w:r w:rsidRPr="008270B7">
        <w:rPr>
          <w:rFonts w:cs="Arial"/>
          <w:sz w:val="16"/>
          <w:szCs w:val="16"/>
        </w:rPr>
        <w:t>Cada bien raíz en que se invierta debe identificarse con un solo folio de matrícula inmobiliaria. Si el bien raíz es susceptible de ser fraccionado para su explotación (productividad), sin que lo anterior implique una división de la matrícula inmobiliaria, el cálculo de valoración de la inversión debe tener en cuenta el porcentaje de ocupación del bien raíz y/o las zonas y espacios susceptibles de ser explotados (productivos) pero que no tienen una matrícula inmobiliaria particular.</w:t>
      </w:r>
    </w:p>
    <w:p w14:paraId="4CB1D284" w14:textId="77777777" w:rsidR="00BB0A30" w:rsidRPr="008270B7" w:rsidRDefault="00BB0A30" w:rsidP="008270B7">
      <w:pPr>
        <w:widowControl w:val="0"/>
        <w:tabs>
          <w:tab w:val="left" w:pos="720"/>
        </w:tabs>
        <w:jc w:val="both"/>
        <w:rPr>
          <w:rFonts w:cs="Arial"/>
          <w:sz w:val="16"/>
          <w:szCs w:val="16"/>
        </w:rPr>
      </w:pPr>
    </w:p>
    <w:p w14:paraId="5CE5E785" w14:textId="77777777" w:rsidR="00BB0A30" w:rsidRPr="008270B7" w:rsidRDefault="00BB0A30" w:rsidP="008270B7">
      <w:pPr>
        <w:pStyle w:val="Ttulo2"/>
        <w:keepNext w:val="0"/>
        <w:widowControl w:val="0"/>
        <w:jc w:val="both"/>
        <w:rPr>
          <w:b w:val="0"/>
          <w:bCs w:val="0"/>
          <w:iCs w:val="0"/>
          <w:szCs w:val="16"/>
        </w:rPr>
      </w:pPr>
      <w:r w:rsidRPr="008270B7">
        <w:rPr>
          <w:b w:val="0"/>
          <w:bCs w:val="0"/>
          <w:iCs w:val="0"/>
          <w:szCs w:val="16"/>
        </w:rPr>
        <w:t xml:space="preserve">2.2.6.3.7. Valoración de los activos no productivos. Las inversiones en </w:t>
      </w:r>
      <w:r w:rsidRPr="008270B7">
        <w:rPr>
          <w:b w:val="0"/>
          <w:bCs w:val="0"/>
          <w:szCs w:val="16"/>
        </w:rPr>
        <w:t>bienes raíces no productivos</w:t>
      </w:r>
      <w:r w:rsidRPr="008270B7">
        <w:rPr>
          <w:b w:val="0"/>
          <w:bCs w:val="0"/>
          <w:iCs w:val="0"/>
          <w:szCs w:val="16"/>
        </w:rPr>
        <w:t xml:space="preserve"> deben valorarse conforme a las siguientes instrucciones:</w:t>
      </w:r>
    </w:p>
    <w:p w14:paraId="7AEFC3C9" w14:textId="77777777" w:rsidR="00BB0A30" w:rsidRPr="008270B7" w:rsidRDefault="00BB0A30" w:rsidP="008270B7">
      <w:pPr>
        <w:widowControl w:val="0"/>
        <w:rPr>
          <w:rFonts w:cs="Arial"/>
          <w:sz w:val="16"/>
          <w:szCs w:val="16"/>
        </w:rPr>
      </w:pPr>
    </w:p>
    <w:p w14:paraId="5B36FA7E" w14:textId="77777777" w:rsidR="00BB0A30" w:rsidRPr="008270B7" w:rsidRDefault="00BB0A30" w:rsidP="008270B7">
      <w:pPr>
        <w:pStyle w:val="Ttulo2"/>
        <w:keepNext w:val="0"/>
        <w:widowControl w:val="0"/>
        <w:jc w:val="both"/>
        <w:rPr>
          <w:b w:val="0"/>
          <w:bCs w:val="0"/>
          <w:szCs w:val="16"/>
        </w:rPr>
      </w:pPr>
      <w:r w:rsidRPr="008270B7">
        <w:rPr>
          <w:b w:val="0"/>
          <w:bCs w:val="0"/>
          <w:szCs w:val="16"/>
        </w:rPr>
        <w:t>2.2.6.3.7.1. Las entidades aseguradoras deben realizar avalúos comerciales de acuerdo con lo dispuesto en el numeral 2 del art. 2.31.7.1.4 del Decreto 2555 de 2010.</w:t>
      </w:r>
    </w:p>
    <w:p w14:paraId="67349301" w14:textId="77777777" w:rsidR="00BB0A30" w:rsidRPr="008270B7" w:rsidRDefault="00BB0A30" w:rsidP="008270B7">
      <w:pPr>
        <w:widowControl w:val="0"/>
        <w:rPr>
          <w:rFonts w:cs="Arial"/>
          <w:sz w:val="16"/>
          <w:szCs w:val="16"/>
        </w:rPr>
      </w:pPr>
    </w:p>
    <w:p w14:paraId="66F88865" w14:textId="77777777" w:rsidR="00BB0A30" w:rsidRPr="008270B7" w:rsidRDefault="00BB0A30" w:rsidP="008270B7">
      <w:pPr>
        <w:pStyle w:val="Ttulo2"/>
        <w:keepNext w:val="0"/>
        <w:widowControl w:val="0"/>
        <w:jc w:val="both"/>
        <w:rPr>
          <w:b w:val="0"/>
          <w:bCs w:val="0"/>
          <w:iCs w:val="0"/>
          <w:szCs w:val="16"/>
        </w:rPr>
      </w:pPr>
      <w:r w:rsidRPr="008270B7">
        <w:rPr>
          <w:b w:val="0"/>
          <w:bCs w:val="0"/>
          <w:szCs w:val="16"/>
        </w:rPr>
        <w:t>El valor del avalúo comercial resultante del inciso anterior debe ser actualizado trimestralmente. Para ello, tratándose de bienes inmuebles destinados a vivienda debe utilizarse el Índice de Precios de Vivienda Usada (IPVU) del Banco de la República</w:t>
      </w:r>
      <w:r w:rsidRPr="008270B7">
        <w:rPr>
          <w:b w:val="0"/>
          <w:bCs w:val="0"/>
          <w:iCs w:val="0"/>
          <w:szCs w:val="16"/>
        </w:rPr>
        <w:t>. Por otro lado, tratándose</w:t>
      </w:r>
      <w:r w:rsidRPr="008270B7">
        <w:rPr>
          <w:b w:val="0"/>
          <w:bCs w:val="0"/>
          <w:szCs w:val="16"/>
        </w:rPr>
        <w:t xml:space="preserve"> de bienes inmuebles con destinación diferente a vivienda, </w:t>
      </w:r>
      <w:r w:rsidRPr="008270B7">
        <w:rPr>
          <w:b w:val="0"/>
          <w:bCs w:val="0"/>
          <w:iCs w:val="0"/>
          <w:szCs w:val="16"/>
        </w:rPr>
        <w:t>las entidades aseguradoras deben realizar una estimación del valor del bien raíz no productivo de manera trimestral, teniendo en cuenta, como mínimo, el comportamiento de las principales variables macroeconómicas. La metodología de estimación debe estar a disposición de la SFC para su consulta en cualquier momento.</w:t>
      </w:r>
    </w:p>
    <w:p w14:paraId="67956E45" w14:textId="77777777" w:rsidR="00BB0A30" w:rsidRPr="008270B7" w:rsidRDefault="00BB0A30" w:rsidP="008270B7">
      <w:pPr>
        <w:rPr>
          <w:rFonts w:cs="Arial"/>
          <w:sz w:val="16"/>
          <w:szCs w:val="16"/>
        </w:rPr>
      </w:pPr>
    </w:p>
    <w:p w14:paraId="6AB43643" w14:textId="77777777" w:rsidR="00BB0A30" w:rsidRPr="008270B7" w:rsidRDefault="00BB0A30" w:rsidP="008270B7">
      <w:pPr>
        <w:pStyle w:val="Ttulo2"/>
        <w:keepNext w:val="0"/>
        <w:widowControl w:val="0"/>
        <w:jc w:val="both"/>
        <w:rPr>
          <w:b w:val="0"/>
          <w:bCs w:val="0"/>
          <w:iCs w:val="0"/>
          <w:szCs w:val="16"/>
        </w:rPr>
      </w:pPr>
      <w:r w:rsidRPr="008270B7">
        <w:rPr>
          <w:b w:val="0"/>
          <w:bCs w:val="0"/>
          <w:szCs w:val="16"/>
        </w:rPr>
        <w:t>En todo caso, ante el indicio o la ocurrencia de eventos que puedan alterar considerablemente la valoración del bien raíz no productivo, tales como deterioro, cambios económicos y de mercado, las entidades aseguradoras deben incorporarlo en su valoración dentro de los treinta (30) días calendario siguientes a la fecha de su conocimiento.</w:t>
      </w:r>
      <w:r w:rsidRPr="008270B7">
        <w:rPr>
          <w:b w:val="0"/>
          <w:bCs w:val="0"/>
          <w:iCs w:val="0"/>
          <w:szCs w:val="16"/>
        </w:rPr>
        <w:t xml:space="preserve"> </w:t>
      </w:r>
    </w:p>
    <w:p w14:paraId="1E92A972" w14:textId="77777777" w:rsidR="00BB0A30" w:rsidRPr="008270B7" w:rsidRDefault="00BB0A30" w:rsidP="008270B7">
      <w:pPr>
        <w:pStyle w:val="Ttulo2"/>
        <w:keepNext w:val="0"/>
        <w:widowControl w:val="0"/>
        <w:jc w:val="both"/>
        <w:rPr>
          <w:b w:val="0"/>
          <w:bCs w:val="0"/>
          <w:iCs w:val="0"/>
          <w:szCs w:val="16"/>
        </w:rPr>
      </w:pPr>
    </w:p>
    <w:p w14:paraId="7B7B2C9D" w14:textId="77777777" w:rsidR="00BB0A30" w:rsidRDefault="00BB0A30" w:rsidP="008270B7">
      <w:pPr>
        <w:pStyle w:val="Ttulo2"/>
        <w:keepNext w:val="0"/>
        <w:widowControl w:val="0"/>
        <w:jc w:val="both"/>
        <w:rPr>
          <w:b w:val="0"/>
          <w:bCs w:val="0"/>
          <w:iCs w:val="0"/>
          <w:szCs w:val="16"/>
        </w:rPr>
      </w:pPr>
      <w:r w:rsidRPr="008270B7">
        <w:rPr>
          <w:b w:val="0"/>
          <w:bCs w:val="0"/>
          <w:iCs w:val="0"/>
          <w:szCs w:val="16"/>
        </w:rPr>
        <w:t>2.2.6.3.7.</w:t>
      </w:r>
      <w:r w:rsidRPr="008270B7">
        <w:rPr>
          <w:b w:val="0"/>
          <w:bCs w:val="0"/>
          <w:szCs w:val="16"/>
        </w:rPr>
        <w:t>2</w:t>
      </w:r>
      <w:r w:rsidRPr="008270B7">
        <w:rPr>
          <w:b w:val="0"/>
          <w:bCs w:val="0"/>
          <w:iCs w:val="0"/>
          <w:szCs w:val="16"/>
        </w:rPr>
        <w:t xml:space="preserve">. Al valor del bien raíz no productivo resultante de la aplicación del </w:t>
      </w:r>
      <w:proofErr w:type="spellStart"/>
      <w:r w:rsidRPr="008270B7">
        <w:rPr>
          <w:b w:val="0"/>
          <w:bCs w:val="0"/>
          <w:iCs w:val="0"/>
          <w:szCs w:val="16"/>
        </w:rPr>
        <w:t>subnumeral</w:t>
      </w:r>
      <w:proofErr w:type="spellEnd"/>
      <w:r w:rsidRPr="008270B7">
        <w:rPr>
          <w:b w:val="0"/>
          <w:bCs w:val="0"/>
          <w:iCs w:val="0"/>
          <w:szCs w:val="16"/>
        </w:rPr>
        <w:t xml:space="preserve"> anterior, la entidad aseguradora debe aplicarle trimestralmente un </w:t>
      </w:r>
      <w:r w:rsidRPr="008270B7">
        <w:rPr>
          <w:b w:val="0"/>
          <w:bCs w:val="0"/>
          <w:szCs w:val="16"/>
        </w:rPr>
        <w:t>ajuste por la iliquidez asociada</w:t>
      </w:r>
      <w:r w:rsidRPr="008270B7">
        <w:rPr>
          <w:b w:val="0"/>
          <w:bCs w:val="0"/>
          <w:iCs w:val="0"/>
          <w:szCs w:val="16"/>
        </w:rPr>
        <w:t xml:space="preserve"> a dicho activo, para lo cual la entidad debe establecer la metodología para este cálculo y tenerla a disposición de la SFC para su consulta en cualquier momento. </w:t>
      </w:r>
    </w:p>
    <w:p w14:paraId="5F1EE258" w14:textId="77777777" w:rsidR="00266710" w:rsidRDefault="00266710" w:rsidP="00266710">
      <w:pPr>
        <w:pBdr>
          <w:left w:val="single" w:sz="4" w:space="4" w:color="auto"/>
        </w:pBdr>
      </w:pPr>
    </w:p>
    <w:p w14:paraId="6F889A66" w14:textId="77777777" w:rsidR="00266710" w:rsidRDefault="00266710" w:rsidP="00266710">
      <w:pPr>
        <w:pBdr>
          <w:left w:val="single" w:sz="4" w:space="4" w:color="auto"/>
        </w:pBdr>
      </w:pPr>
    </w:p>
    <w:p w14:paraId="74BF576B" w14:textId="77777777" w:rsidR="00266710" w:rsidRDefault="00266710" w:rsidP="00266710">
      <w:pPr>
        <w:pBdr>
          <w:left w:val="single" w:sz="4" w:space="4" w:color="auto"/>
        </w:pBdr>
      </w:pPr>
    </w:p>
    <w:p w14:paraId="16438E73" w14:textId="77777777" w:rsidR="00266710" w:rsidRDefault="00266710" w:rsidP="00266710">
      <w:pPr>
        <w:pBdr>
          <w:left w:val="single" w:sz="4" w:space="4" w:color="auto"/>
        </w:pBdr>
      </w:pPr>
    </w:p>
    <w:p w14:paraId="334560CE" w14:textId="77777777" w:rsidR="00266710" w:rsidRDefault="00266710" w:rsidP="00266710">
      <w:pPr>
        <w:pBdr>
          <w:left w:val="single" w:sz="4" w:space="4" w:color="auto"/>
        </w:pBdr>
      </w:pPr>
    </w:p>
    <w:p w14:paraId="0D585D10" w14:textId="77777777" w:rsidR="00266710" w:rsidRDefault="00266710" w:rsidP="00266710">
      <w:pPr>
        <w:pBdr>
          <w:left w:val="single" w:sz="4" w:space="4" w:color="auto"/>
        </w:pBdr>
      </w:pPr>
    </w:p>
    <w:p w14:paraId="4754028E" w14:textId="77777777" w:rsidR="00266710" w:rsidRDefault="00266710" w:rsidP="00266710">
      <w:pPr>
        <w:pBdr>
          <w:left w:val="single" w:sz="4" w:space="4" w:color="auto"/>
        </w:pBdr>
      </w:pPr>
    </w:p>
    <w:p w14:paraId="0BC7770D" w14:textId="77777777" w:rsidR="00266710" w:rsidRDefault="00266710" w:rsidP="00266710">
      <w:pPr>
        <w:pBdr>
          <w:left w:val="single" w:sz="4" w:space="4" w:color="auto"/>
        </w:pBdr>
      </w:pPr>
    </w:p>
    <w:p w14:paraId="6565CB83" w14:textId="77777777" w:rsidR="00266710" w:rsidRDefault="00266710" w:rsidP="00266710">
      <w:pPr>
        <w:pBdr>
          <w:left w:val="single" w:sz="4" w:space="4" w:color="auto"/>
        </w:pBdr>
      </w:pPr>
    </w:p>
    <w:p w14:paraId="020B5339" w14:textId="77777777" w:rsidR="00266710" w:rsidRDefault="00266710" w:rsidP="00266710">
      <w:pPr>
        <w:pBdr>
          <w:left w:val="single" w:sz="4" w:space="4" w:color="auto"/>
        </w:pBdr>
      </w:pPr>
    </w:p>
    <w:p w14:paraId="7B4D6337" w14:textId="77777777" w:rsidR="00266710" w:rsidRDefault="00266710" w:rsidP="00266710">
      <w:pPr>
        <w:pBdr>
          <w:left w:val="single" w:sz="4" w:space="4" w:color="auto"/>
        </w:pBdr>
      </w:pPr>
    </w:p>
    <w:p w14:paraId="6483084B" w14:textId="77777777" w:rsidR="00266710" w:rsidRDefault="00266710" w:rsidP="00266710">
      <w:pPr>
        <w:pBdr>
          <w:left w:val="single" w:sz="4" w:space="4" w:color="auto"/>
        </w:pBdr>
      </w:pPr>
    </w:p>
    <w:p w14:paraId="272BD358" w14:textId="77777777" w:rsidR="00266710" w:rsidRDefault="00266710" w:rsidP="00266710">
      <w:pPr>
        <w:pBdr>
          <w:left w:val="single" w:sz="4" w:space="4" w:color="auto"/>
        </w:pBdr>
      </w:pPr>
    </w:p>
    <w:p w14:paraId="59B6ABEA" w14:textId="77777777" w:rsidR="00266710" w:rsidRDefault="00266710" w:rsidP="00266710">
      <w:pPr>
        <w:pBdr>
          <w:left w:val="single" w:sz="4" w:space="4" w:color="auto"/>
        </w:pBdr>
      </w:pPr>
    </w:p>
    <w:p w14:paraId="7B022FBB" w14:textId="0303D075" w:rsidR="00266710" w:rsidRDefault="00266710" w:rsidP="00266710">
      <w:pPr>
        <w:pBdr>
          <w:left w:val="single" w:sz="4" w:space="4" w:color="auto"/>
        </w:pBdr>
      </w:pPr>
    </w:p>
    <w:p w14:paraId="5380774A" w14:textId="77777777" w:rsidR="00266710" w:rsidRPr="00266710" w:rsidRDefault="00266710" w:rsidP="00266710">
      <w:pPr>
        <w:pBdr>
          <w:left w:val="single" w:sz="4" w:space="4" w:color="auto"/>
        </w:pBdr>
      </w:pPr>
    </w:p>
    <w:p w14:paraId="3F6B77B3" w14:textId="6B41D490" w:rsidR="008270B7" w:rsidRDefault="008270B7">
      <w:pPr>
        <w:rPr>
          <w:rFonts w:cs="Arial"/>
          <w:sz w:val="16"/>
          <w:szCs w:val="16"/>
        </w:rPr>
      </w:pPr>
      <w:r>
        <w:rPr>
          <w:rFonts w:cs="Arial"/>
          <w:sz w:val="16"/>
          <w:szCs w:val="16"/>
        </w:rPr>
        <w:br w:type="page"/>
      </w:r>
    </w:p>
    <w:p w14:paraId="57848C3A" w14:textId="77777777" w:rsidR="00BB0A30" w:rsidRPr="008270B7" w:rsidRDefault="00BB0A30" w:rsidP="008270B7">
      <w:pPr>
        <w:tabs>
          <w:tab w:val="left" w:pos="720"/>
        </w:tabs>
        <w:jc w:val="both"/>
        <w:rPr>
          <w:rFonts w:cs="Arial"/>
          <w:sz w:val="16"/>
          <w:szCs w:val="16"/>
        </w:rPr>
      </w:pPr>
    </w:p>
    <w:p w14:paraId="07C1BD59" w14:textId="77777777" w:rsidR="00D46A7D" w:rsidRPr="008270B7" w:rsidRDefault="00D46A7D" w:rsidP="008270B7">
      <w:pPr>
        <w:pStyle w:val="Prrafodelista"/>
        <w:ind w:left="0"/>
        <w:jc w:val="both"/>
        <w:rPr>
          <w:rFonts w:cs="Arial"/>
          <w:sz w:val="16"/>
          <w:szCs w:val="16"/>
        </w:rPr>
      </w:pPr>
    </w:p>
    <w:p w14:paraId="2E89A326" w14:textId="77777777" w:rsidR="00D46A7D" w:rsidRPr="008270B7" w:rsidRDefault="00D46A7D" w:rsidP="008270B7">
      <w:pPr>
        <w:pStyle w:val="Prrafodelista"/>
        <w:ind w:left="0"/>
        <w:jc w:val="both"/>
        <w:rPr>
          <w:rFonts w:cs="Arial"/>
          <w:sz w:val="16"/>
          <w:szCs w:val="16"/>
        </w:rPr>
      </w:pPr>
      <w:r w:rsidRPr="008270B7">
        <w:rPr>
          <w:rFonts w:cs="Arial"/>
          <w:sz w:val="16"/>
          <w:szCs w:val="16"/>
        </w:rPr>
        <w:t>2.2.8. Proceso de inversión y gestión de las inversiones que respaldan las reservas técnicas</w:t>
      </w:r>
    </w:p>
    <w:p w14:paraId="7144BBE6" w14:textId="77777777" w:rsidR="00D46A7D" w:rsidRPr="008270B7" w:rsidRDefault="00D46A7D" w:rsidP="008270B7">
      <w:pPr>
        <w:pStyle w:val="Prrafodelista"/>
        <w:ind w:left="0"/>
        <w:jc w:val="both"/>
        <w:rPr>
          <w:rFonts w:cs="Arial"/>
          <w:sz w:val="16"/>
          <w:szCs w:val="16"/>
        </w:rPr>
      </w:pPr>
    </w:p>
    <w:p w14:paraId="74E95140" w14:textId="77777777" w:rsidR="00D46A7D" w:rsidRPr="008270B7" w:rsidRDefault="00D46A7D" w:rsidP="008270B7">
      <w:pPr>
        <w:pStyle w:val="Prrafodelista"/>
        <w:ind w:left="0"/>
        <w:jc w:val="both"/>
        <w:rPr>
          <w:rFonts w:cs="Arial"/>
          <w:sz w:val="16"/>
          <w:szCs w:val="16"/>
        </w:rPr>
      </w:pPr>
      <w:r w:rsidRPr="008270B7">
        <w:rPr>
          <w:rFonts w:cs="Arial"/>
          <w:sz w:val="16"/>
          <w:szCs w:val="16"/>
          <w:lang w:val="es-CO"/>
        </w:rPr>
        <w:t xml:space="preserve">Corresponde a la junta directiva de las </w:t>
      </w:r>
      <w:r w:rsidRPr="008270B7">
        <w:rPr>
          <w:rFonts w:cs="Arial"/>
          <w:sz w:val="16"/>
          <w:szCs w:val="16"/>
        </w:rPr>
        <w:t>entidades aseguradoras adoptar una política de inversión, conforme al Anexo 15 del presente Título. La gestión de las inversiones que respaldan las reservas técnicas deberá realizarse de conformidad con las instrucciones señaladas a continuación y las contenidas en el referido Anexo.</w:t>
      </w:r>
    </w:p>
    <w:p w14:paraId="35DEF744" w14:textId="77777777" w:rsidR="00D46A7D" w:rsidRPr="008270B7" w:rsidRDefault="00D46A7D" w:rsidP="008270B7">
      <w:pPr>
        <w:pStyle w:val="Prrafodelista"/>
        <w:ind w:left="0"/>
        <w:jc w:val="both"/>
        <w:rPr>
          <w:rFonts w:cs="Arial"/>
          <w:sz w:val="16"/>
          <w:szCs w:val="16"/>
        </w:rPr>
      </w:pPr>
    </w:p>
    <w:p w14:paraId="45C0BEA6" w14:textId="77777777" w:rsidR="00D46A7D" w:rsidRPr="008270B7" w:rsidRDefault="00D46A7D" w:rsidP="008270B7">
      <w:pPr>
        <w:pStyle w:val="Prrafodelista"/>
        <w:ind w:left="0"/>
        <w:jc w:val="both"/>
        <w:rPr>
          <w:rFonts w:cs="Arial"/>
          <w:sz w:val="16"/>
          <w:szCs w:val="16"/>
        </w:rPr>
      </w:pPr>
      <w:r w:rsidRPr="008270B7">
        <w:rPr>
          <w:rFonts w:cs="Arial"/>
          <w:sz w:val="16"/>
          <w:szCs w:val="16"/>
        </w:rPr>
        <w:t>2.2.9. Control de límites de inversión</w:t>
      </w:r>
    </w:p>
    <w:p w14:paraId="0E5EC312" w14:textId="77777777" w:rsidR="00D46A7D" w:rsidRPr="008270B7" w:rsidRDefault="00D46A7D" w:rsidP="008270B7">
      <w:pPr>
        <w:pStyle w:val="Prrafodelista"/>
        <w:ind w:left="0"/>
        <w:jc w:val="both"/>
        <w:rPr>
          <w:rFonts w:cs="Arial"/>
          <w:sz w:val="16"/>
          <w:szCs w:val="16"/>
        </w:rPr>
      </w:pPr>
    </w:p>
    <w:p w14:paraId="646E3811" w14:textId="77777777" w:rsidR="00D46A7D" w:rsidRPr="008270B7" w:rsidRDefault="00D46A7D" w:rsidP="008270B7">
      <w:pPr>
        <w:pStyle w:val="Prrafodelista"/>
        <w:ind w:left="0"/>
        <w:jc w:val="both"/>
        <w:rPr>
          <w:rFonts w:cs="Arial"/>
          <w:sz w:val="16"/>
          <w:szCs w:val="16"/>
        </w:rPr>
      </w:pPr>
      <w:r w:rsidRPr="008270B7">
        <w:rPr>
          <w:rFonts w:cs="Arial"/>
          <w:sz w:val="16"/>
          <w:szCs w:val="16"/>
        </w:rPr>
        <w:t xml:space="preserve">Las entidades aseguradoras deben adoptar procesos y mecanismos que les permitan realizar el control de los límites de inversión tanto </w:t>
      </w:r>
      <w:r w:rsidRPr="008270B7">
        <w:rPr>
          <w:rStyle w:val="normaltextrun"/>
          <w:rFonts w:cs="Arial"/>
          <w:sz w:val="16"/>
          <w:szCs w:val="18"/>
        </w:rPr>
        <w:t>internos</w:t>
      </w:r>
      <w:r w:rsidRPr="008270B7">
        <w:rPr>
          <w:rFonts w:cs="Arial"/>
          <w:sz w:val="16"/>
          <w:szCs w:val="16"/>
        </w:rPr>
        <w:t xml:space="preserve"> como legales, de manera que se dé cumplimiento a las disposiciones del artículo 2.31.3.1.1 y siguientes del Decreto 2555 de 2010.</w:t>
      </w:r>
    </w:p>
    <w:p w14:paraId="7369DCA8" w14:textId="77777777" w:rsidR="00D46A7D" w:rsidRPr="008270B7" w:rsidRDefault="00D46A7D" w:rsidP="008270B7">
      <w:pPr>
        <w:rPr>
          <w:sz w:val="16"/>
          <w:szCs w:val="16"/>
        </w:rPr>
      </w:pPr>
    </w:p>
    <w:p w14:paraId="3F431C3B" w14:textId="77777777" w:rsidR="00D46A7D" w:rsidRPr="008270B7" w:rsidRDefault="00D46A7D" w:rsidP="008270B7">
      <w:pPr>
        <w:jc w:val="both"/>
        <w:rPr>
          <w:sz w:val="16"/>
          <w:szCs w:val="16"/>
        </w:rPr>
      </w:pPr>
      <w:r w:rsidRPr="008270B7">
        <w:rPr>
          <w:sz w:val="16"/>
          <w:szCs w:val="16"/>
        </w:rPr>
        <w:t>2.2.9.1. Control de los límites de inversiones restringidas</w:t>
      </w:r>
    </w:p>
    <w:p w14:paraId="0C9EDF60" w14:textId="77777777" w:rsidR="00D46A7D" w:rsidRPr="008270B7" w:rsidRDefault="00D46A7D" w:rsidP="008270B7">
      <w:pPr>
        <w:jc w:val="both"/>
        <w:rPr>
          <w:sz w:val="16"/>
          <w:szCs w:val="16"/>
        </w:rPr>
      </w:pPr>
    </w:p>
    <w:p w14:paraId="45EC147B" w14:textId="77777777" w:rsidR="00D46A7D" w:rsidRPr="008270B7" w:rsidRDefault="00D46A7D" w:rsidP="008270B7">
      <w:pPr>
        <w:jc w:val="both"/>
        <w:rPr>
          <w:sz w:val="16"/>
          <w:szCs w:val="16"/>
        </w:rPr>
      </w:pPr>
      <w:r w:rsidRPr="008270B7">
        <w:rPr>
          <w:sz w:val="16"/>
          <w:szCs w:val="16"/>
        </w:rPr>
        <w:t>Para el cumplimiento de los límites establecidos en las inversiones que respaldan las reservas técnicas</w:t>
      </w:r>
      <w:r w:rsidRPr="008270B7">
        <w:rPr>
          <w:rFonts w:cs="Arial"/>
          <w:sz w:val="16"/>
          <w:szCs w:val="16"/>
        </w:rPr>
        <w:t>,</w:t>
      </w:r>
      <w:r w:rsidRPr="008270B7">
        <w:rPr>
          <w:sz w:val="16"/>
          <w:szCs w:val="16"/>
        </w:rPr>
        <w:t xml:space="preserve"> de que trata el artículo 2.31.3.1.4 del Decreto 2555 de 2010 </w:t>
      </w:r>
      <w:r w:rsidRPr="008270B7">
        <w:rPr>
          <w:rFonts w:cs="Arial"/>
          <w:sz w:val="16"/>
          <w:szCs w:val="16"/>
          <w:lang w:val="es-CO"/>
        </w:rPr>
        <w:t>u otras disposiciones</w:t>
      </w:r>
      <w:r w:rsidRPr="008270B7">
        <w:rPr>
          <w:sz w:val="16"/>
          <w:szCs w:val="16"/>
        </w:rPr>
        <w:t xml:space="preserve">, las entidades aseguradoras de vida deben mantener actualizada la información respecto de la exposición de los vehículos de inversión en activos considerados como inversiones restringidas. Para el efecto, las aseguradoras de vida podrán implementar mecanismos para determinar la exposición real de los vehículos de inversión en inversiones restringidas, siempre que se cumplan las condiciones definidas en el </w:t>
      </w:r>
      <w:proofErr w:type="spellStart"/>
      <w:r w:rsidRPr="008270B7">
        <w:rPr>
          <w:sz w:val="16"/>
          <w:szCs w:val="16"/>
        </w:rPr>
        <w:t>subnumeral</w:t>
      </w:r>
      <w:proofErr w:type="spellEnd"/>
      <w:r w:rsidRPr="008270B7">
        <w:rPr>
          <w:sz w:val="16"/>
          <w:szCs w:val="16"/>
        </w:rPr>
        <w:t xml:space="preserve"> 2.2.9.1.1 del presente capítulo. En caso de que no puedan implementar los mecanismos para el cómputo de la exposición de los vehículos de inversión en activos considerados como inversiones restringidas, las entidades aseguradoras de vida deben tomar la máxima exposición permitida en este tipo de inversiones, según la política de inversión establecida en el reglamento del fondo de inversión colectiva o vehículo correspondiente.</w:t>
      </w:r>
    </w:p>
    <w:p w14:paraId="0CDA8BC7" w14:textId="77777777" w:rsidR="00D46A7D" w:rsidRPr="008270B7" w:rsidRDefault="00D46A7D" w:rsidP="008270B7">
      <w:pPr>
        <w:jc w:val="both"/>
        <w:rPr>
          <w:sz w:val="16"/>
          <w:szCs w:val="16"/>
        </w:rPr>
      </w:pPr>
    </w:p>
    <w:p w14:paraId="373103A5" w14:textId="77777777" w:rsidR="00D46A7D" w:rsidRPr="008270B7" w:rsidRDefault="00D46A7D" w:rsidP="008270B7">
      <w:pPr>
        <w:jc w:val="both"/>
        <w:rPr>
          <w:sz w:val="16"/>
          <w:szCs w:val="16"/>
        </w:rPr>
      </w:pPr>
      <w:r w:rsidRPr="008270B7">
        <w:rPr>
          <w:sz w:val="16"/>
          <w:szCs w:val="16"/>
        </w:rPr>
        <w:t>Independientemente de la forma como la entidad aseguradora de vida determine la exposición real de los vehículos de inversión en las inversiones restringidas, debe adelantar una revisión periódica de la política de inversión establecida en el reglamento del fondo de inversión colectiva o vehículo correspondiente y demás información relevante para la determinación de la exposición.</w:t>
      </w:r>
    </w:p>
    <w:p w14:paraId="6E65AD2D" w14:textId="77777777" w:rsidR="00D46A7D" w:rsidRPr="008270B7" w:rsidRDefault="00D46A7D" w:rsidP="008270B7">
      <w:pPr>
        <w:jc w:val="both"/>
        <w:rPr>
          <w:sz w:val="16"/>
          <w:szCs w:val="16"/>
        </w:rPr>
      </w:pPr>
    </w:p>
    <w:p w14:paraId="4DB18830" w14:textId="77777777" w:rsidR="00D46A7D" w:rsidRPr="008270B7" w:rsidRDefault="00D46A7D" w:rsidP="008270B7">
      <w:pPr>
        <w:jc w:val="both"/>
        <w:rPr>
          <w:sz w:val="16"/>
          <w:szCs w:val="16"/>
        </w:rPr>
      </w:pPr>
      <w:r w:rsidRPr="008270B7">
        <w:rPr>
          <w:sz w:val="16"/>
          <w:szCs w:val="16"/>
        </w:rPr>
        <w:t>2.2.9.1.1. Condiciones de los mecanismos para determinar la exposición real de los vehículos de inversión a las inversiones consideradas como restringidas</w:t>
      </w:r>
    </w:p>
    <w:p w14:paraId="2EC2888F" w14:textId="77777777" w:rsidR="00D46A7D" w:rsidRPr="008270B7" w:rsidRDefault="00D46A7D" w:rsidP="008270B7">
      <w:pPr>
        <w:jc w:val="both"/>
        <w:rPr>
          <w:sz w:val="16"/>
          <w:szCs w:val="16"/>
        </w:rPr>
      </w:pPr>
    </w:p>
    <w:p w14:paraId="77FD97BC" w14:textId="77777777" w:rsidR="00D46A7D" w:rsidRPr="008270B7" w:rsidRDefault="00D46A7D" w:rsidP="008270B7">
      <w:pPr>
        <w:jc w:val="both"/>
        <w:rPr>
          <w:sz w:val="16"/>
          <w:szCs w:val="16"/>
        </w:rPr>
      </w:pPr>
      <w:r w:rsidRPr="008270B7">
        <w:rPr>
          <w:sz w:val="16"/>
          <w:szCs w:val="16"/>
        </w:rPr>
        <w:t>2.2.9.1.1.1. Información actualizada. En caso de contar con información actualizada, bien sea por certificaciones expedidas por el administrador del vehículo de inversión o por los mecanismos contractuales dispuestos para la divulgación de la estructura de sus activos, la entidad aseguradora de vida debe realizar el cálculo de su exposición basada en esta información, ponderado por el porcentaje de participación de la entidad en el respectivo vehículo. Se entiende por información actualizada aquella publicada por la sociedad administradora o gestor del vehículo de inversión o conocida por la entidad aseguradora de vida en los últimos 3 meses.</w:t>
      </w:r>
    </w:p>
    <w:p w14:paraId="56B2F391" w14:textId="77777777" w:rsidR="00D46A7D" w:rsidRPr="008270B7" w:rsidRDefault="00D46A7D" w:rsidP="008270B7">
      <w:pPr>
        <w:jc w:val="both"/>
        <w:rPr>
          <w:sz w:val="16"/>
          <w:szCs w:val="16"/>
        </w:rPr>
      </w:pPr>
    </w:p>
    <w:p w14:paraId="2A36EDA6" w14:textId="77777777" w:rsidR="00D46A7D" w:rsidRPr="008270B7" w:rsidRDefault="00D46A7D" w:rsidP="008270B7">
      <w:pPr>
        <w:jc w:val="both"/>
        <w:rPr>
          <w:sz w:val="16"/>
          <w:szCs w:val="16"/>
        </w:rPr>
      </w:pPr>
      <w:r w:rsidRPr="008270B7">
        <w:rPr>
          <w:sz w:val="16"/>
          <w:szCs w:val="16"/>
        </w:rPr>
        <w:t xml:space="preserve">2.2.9.1.1.2. Con el fin de prever los movimientos en las composiciones de los vehículos de inversión y su efecto en el cumplimiento de los límites de inversión internos y legales, el mecanismo para determinar la exposición debe incluir un supuesto que permita realizar la mejor estimación de la exposición real desde a la fecha de cálculo del control de los límites hasta la próxima fecha en la cual se dispone de información actualizada.  </w:t>
      </w:r>
    </w:p>
    <w:p w14:paraId="1847C955" w14:textId="77777777" w:rsidR="00D46A7D" w:rsidRPr="008270B7" w:rsidRDefault="00D46A7D" w:rsidP="008270B7">
      <w:pPr>
        <w:jc w:val="both"/>
        <w:rPr>
          <w:sz w:val="16"/>
          <w:szCs w:val="16"/>
        </w:rPr>
      </w:pPr>
    </w:p>
    <w:p w14:paraId="1503750F" w14:textId="77777777" w:rsidR="00D46A7D" w:rsidRPr="008270B7" w:rsidRDefault="00D46A7D" w:rsidP="008270B7">
      <w:pPr>
        <w:jc w:val="both"/>
        <w:rPr>
          <w:sz w:val="16"/>
          <w:szCs w:val="16"/>
        </w:rPr>
      </w:pPr>
      <w:r w:rsidRPr="008270B7">
        <w:rPr>
          <w:sz w:val="16"/>
          <w:szCs w:val="16"/>
        </w:rPr>
        <w:t xml:space="preserve">2.2.9.1.1.3. Ser objeto de revisión por parte de un área o comité designados por la misma política. Los resultados de la aplicación de los mecanismos de que trata el presente </w:t>
      </w:r>
      <w:proofErr w:type="spellStart"/>
      <w:r w:rsidRPr="008270B7">
        <w:rPr>
          <w:sz w:val="16"/>
          <w:szCs w:val="16"/>
        </w:rPr>
        <w:t>subnumeral</w:t>
      </w:r>
      <w:proofErr w:type="spellEnd"/>
      <w:r w:rsidRPr="008270B7">
        <w:rPr>
          <w:sz w:val="16"/>
          <w:szCs w:val="16"/>
        </w:rPr>
        <w:t xml:space="preserve"> deben ser objeto de seguimiento trimestral por parte de un área o comité designados por la misma política, de manera tal que este cumpla con su función de velar por el cumplimiento de los límites internos y legales, señalados en el </w:t>
      </w:r>
      <w:proofErr w:type="spellStart"/>
      <w:r w:rsidRPr="008270B7">
        <w:rPr>
          <w:sz w:val="16"/>
          <w:szCs w:val="16"/>
        </w:rPr>
        <w:t>subnumeral</w:t>
      </w:r>
      <w:proofErr w:type="spellEnd"/>
      <w:r w:rsidRPr="008270B7">
        <w:rPr>
          <w:sz w:val="16"/>
          <w:szCs w:val="16"/>
        </w:rPr>
        <w:t xml:space="preserve"> 2.8 del Anexo 15 del presente Título. </w:t>
      </w:r>
    </w:p>
    <w:p w14:paraId="40AE763F" w14:textId="77777777" w:rsidR="00D46A7D" w:rsidRPr="008270B7" w:rsidRDefault="00D46A7D" w:rsidP="008270B7">
      <w:pPr>
        <w:jc w:val="both"/>
        <w:rPr>
          <w:sz w:val="16"/>
          <w:szCs w:val="16"/>
        </w:rPr>
      </w:pPr>
    </w:p>
    <w:p w14:paraId="7FFB38C2" w14:textId="77777777" w:rsidR="00D46A7D" w:rsidRPr="008270B7" w:rsidRDefault="00D46A7D" w:rsidP="008270B7">
      <w:pPr>
        <w:jc w:val="both"/>
        <w:rPr>
          <w:sz w:val="16"/>
          <w:szCs w:val="16"/>
        </w:rPr>
      </w:pPr>
      <w:r w:rsidRPr="008270B7">
        <w:rPr>
          <w:sz w:val="16"/>
          <w:szCs w:val="16"/>
        </w:rPr>
        <w:t xml:space="preserve">2.2.9.1.1.4. La política de inversión debe designar el área responsable de la presentación de los informes con los resultados de la aplicación de los mecanismos de que trata el presente </w:t>
      </w:r>
      <w:proofErr w:type="spellStart"/>
      <w:r w:rsidRPr="008270B7">
        <w:rPr>
          <w:sz w:val="16"/>
          <w:szCs w:val="16"/>
        </w:rPr>
        <w:t>subnumeral</w:t>
      </w:r>
      <w:proofErr w:type="spellEnd"/>
      <w:r w:rsidRPr="008270B7">
        <w:rPr>
          <w:sz w:val="16"/>
          <w:szCs w:val="16"/>
        </w:rPr>
        <w:t>, quien a su vez estará encargada del control permanente del cumplimiento de los límites de inversión.</w:t>
      </w:r>
    </w:p>
    <w:p w14:paraId="63BD5D91" w14:textId="77777777" w:rsidR="00D46A7D" w:rsidRPr="008270B7" w:rsidRDefault="00D46A7D" w:rsidP="008270B7">
      <w:pPr>
        <w:jc w:val="both"/>
        <w:rPr>
          <w:sz w:val="16"/>
          <w:szCs w:val="16"/>
        </w:rPr>
        <w:sectPr w:rsidR="00D46A7D" w:rsidRPr="008270B7" w:rsidSect="00E41E4B">
          <w:headerReference w:type="default" r:id="rId64"/>
          <w:footerReference w:type="even" r:id="rId65"/>
          <w:footerReference w:type="default" r:id="rId66"/>
          <w:headerReference w:type="first" r:id="rId67"/>
          <w:footerReference w:type="first" r:id="rId68"/>
          <w:pgSz w:w="12240" w:h="18720" w:code="257"/>
          <w:pgMar w:top="1417" w:right="1701" w:bottom="1417" w:left="1701" w:header="709" w:footer="865" w:gutter="0"/>
          <w:pgNumType w:start="31"/>
          <w:cols w:space="708"/>
          <w:docGrid w:linePitch="360"/>
        </w:sectPr>
      </w:pPr>
    </w:p>
    <w:p w14:paraId="72BB5D83" w14:textId="77777777" w:rsidR="00D46A7D" w:rsidRPr="008270B7" w:rsidRDefault="00D46A7D" w:rsidP="008270B7">
      <w:pPr>
        <w:jc w:val="both"/>
        <w:rPr>
          <w:sz w:val="16"/>
          <w:szCs w:val="16"/>
        </w:rPr>
      </w:pPr>
      <w:r w:rsidRPr="008270B7">
        <w:rPr>
          <w:sz w:val="16"/>
          <w:szCs w:val="16"/>
        </w:rPr>
        <w:lastRenderedPageBreak/>
        <w:t xml:space="preserve">2.2.9.1.1.5. Exposición subyacente en el caso de inversiones realizadas a través de fondos de fondos u otros vehículos de inversión mediante los cuales la entidad aseguradora de vida tenga una exposición a inversiones restringidas. En el evento que la entidad aseguradora de vida realice inversiones en fondos de fondos u otros vehículos mediante los cuales tenga una exposición a inversiones restringidas, el mecanismo debe permitir determinar la exposición del fondo subyacente a estas inversiones. En caso de que para el fondo subyacente no se cuente con información actualizada en los términos del </w:t>
      </w:r>
      <w:proofErr w:type="spellStart"/>
      <w:r w:rsidRPr="008270B7">
        <w:rPr>
          <w:sz w:val="16"/>
          <w:szCs w:val="16"/>
        </w:rPr>
        <w:t>subnumeral</w:t>
      </w:r>
      <w:proofErr w:type="spellEnd"/>
      <w:r w:rsidRPr="008270B7">
        <w:rPr>
          <w:sz w:val="16"/>
          <w:szCs w:val="16"/>
        </w:rPr>
        <w:t xml:space="preserve"> 2.2.9.1.1.1 precedente, la entidad aseguradora de vida debe tomar la máxima exposición permitida en este tipo de inversiones, según la política de inversión establecida en el reglamento. Para la determinación de la exposición real subyacente al tipo de fondo, el mecanismo debe definir el número de veces que razonablemente la entidad aseguradora debe evaluar los activos subyacentes dentro de la composición de un vehículo de inversión u otro tipo de esquema de inversión indirecta, con el fin de establecer la participación de la entidad en activos considerados como restringidos. </w:t>
      </w:r>
    </w:p>
    <w:p w14:paraId="18FF62A1" w14:textId="77777777" w:rsidR="00D46A7D" w:rsidRPr="008270B7" w:rsidRDefault="00D46A7D" w:rsidP="008270B7">
      <w:pPr>
        <w:tabs>
          <w:tab w:val="left" w:pos="3156"/>
        </w:tabs>
        <w:jc w:val="both"/>
        <w:rPr>
          <w:sz w:val="16"/>
          <w:szCs w:val="16"/>
        </w:rPr>
      </w:pPr>
      <w:r w:rsidRPr="008270B7">
        <w:rPr>
          <w:sz w:val="16"/>
          <w:szCs w:val="16"/>
        </w:rPr>
        <w:tab/>
      </w:r>
    </w:p>
    <w:p w14:paraId="18776DAB" w14:textId="77777777" w:rsidR="00D46A7D" w:rsidRPr="008270B7" w:rsidRDefault="00D46A7D" w:rsidP="008270B7">
      <w:pPr>
        <w:jc w:val="both"/>
        <w:rPr>
          <w:sz w:val="16"/>
          <w:szCs w:val="16"/>
        </w:rPr>
      </w:pPr>
      <w:r w:rsidRPr="008270B7">
        <w:rPr>
          <w:sz w:val="16"/>
          <w:szCs w:val="16"/>
        </w:rPr>
        <w:t>2.2.9.2. Control de los límites de inversiones en activos alternativos</w:t>
      </w:r>
    </w:p>
    <w:p w14:paraId="38B6EEEC" w14:textId="77777777" w:rsidR="00D46A7D" w:rsidRPr="008270B7" w:rsidRDefault="00D46A7D" w:rsidP="008270B7">
      <w:pPr>
        <w:jc w:val="both"/>
        <w:rPr>
          <w:sz w:val="16"/>
          <w:szCs w:val="16"/>
        </w:rPr>
      </w:pPr>
    </w:p>
    <w:p w14:paraId="5CF8973E" w14:textId="77777777" w:rsidR="00D46A7D" w:rsidRPr="008270B7" w:rsidRDefault="00D46A7D" w:rsidP="008270B7">
      <w:pPr>
        <w:jc w:val="both"/>
        <w:rPr>
          <w:sz w:val="16"/>
          <w:szCs w:val="16"/>
        </w:rPr>
      </w:pPr>
      <w:bookmarkStart w:id="13" w:name="_Hlk67418080"/>
      <w:r w:rsidRPr="008270B7">
        <w:rPr>
          <w:sz w:val="16"/>
          <w:szCs w:val="16"/>
        </w:rPr>
        <w:t xml:space="preserve">Para el cumplimiento de los límites establecidos para las inversiones que respaldan las reservas técnicas de que tratan los artículos 2.31.3.1.4, 2.31.3.1.5 y 2.31.3.1.7 del Decreto 2555 de 2010 </w:t>
      </w:r>
      <w:r w:rsidRPr="008270B7">
        <w:rPr>
          <w:rFonts w:cs="Arial"/>
          <w:sz w:val="16"/>
          <w:szCs w:val="16"/>
          <w:lang w:val="es-CO"/>
        </w:rPr>
        <w:t>u otras disposiciones que los modifiquen o complementen</w:t>
      </w:r>
      <w:r w:rsidRPr="008270B7">
        <w:rPr>
          <w:sz w:val="16"/>
          <w:szCs w:val="16"/>
        </w:rPr>
        <w:t>, las entidades aseguradoras deben mantener actualizada la información respecto de la exposición de los vehículos de inversión en activos considerados como alternativos.</w:t>
      </w:r>
    </w:p>
    <w:p w14:paraId="47CF189D" w14:textId="77777777" w:rsidR="00D46A7D" w:rsidRPr="008270B7" w:rsidRDefault="00D46A7D" w:rsidP="008270B7">
      <w:pPr>
        <w:jc w:val="both"/>
        <w:rPr>
          <w:sz w:val="16"/>
          <w:szCs w:val="16"/>
        </w:rPr>
      </w:pPr>
    </w:p>
    <w:p w14:paraId="6EF018DF" w14:textId="77777777" w:rsidR="00D46A7D" w:rsidRPr="008270B7" w:rsidRDefault="00D46A7D" w:rsidP="008270B7">
      <w:pPr>
        <w:jc w:val="both"/>
        <w:rPr>
          <w:sz w:val="16"/>
          <w:szCs w:val="16"/>
        </w:rPr>
      </w:pPr>
      <w:r w:rsidRPr="008270B7">
        <w:rPr>
          <w:sz w:val="16"/>
          <w:szCs w:val="16"/>
        </w:rPr>
        <w:t xml:space="preserve">En la determinación de la exposición en activos alternativos realizadas a través de fondos de fondos u otros vehículos de inversión, las entidades aseguradoras deben implementar un mecanismo que les permita determinar la exposición del fondo subyacente a estas inversiones. En el caso de que para el fondo subyacente no se cuente con información actualizada en los términos del </w:t>
      </w:r>
      <w:proofErr w:type="spellStart"/>
      <w:r w:rsidRPr="008270B7">
        <w:rPr>
          <w:sz w:val="16"/>
          <w:szCs w:val="16"/>
        </w:rPr>
        <w:t>subnumeral</w:t>
      </w:r>
      <w:proofErr w:type="spellEnd"/>
      <w:r w:rsidRPr="008270B7">
        <w:rPr>
          <w:sz w:val="16"/>
          <w:szCs w:val="16"/>
        </w:rPr>
        <w:t xml:space="preserve"> 2.2.9.1.1.1 precedente, la entidad aseguradora debe tomar la máxima exposición permitida en este tipo de inversiones, según la política de inversión establecida en el reglamento. En la determinación de la exposición subyacente en activos alternativos, el mecanismo debe definir el número de veces que razonablemente la entidad aseguradora debe evaluar los activos subyacentes dentro de la composición de un vehículo de inversión u otro tipo de esquema de inversión indirecta, con el fin de establecer su exposición. </w:t>
      </w:r>
    </w:p>
    <w:bookmarkEnd w:id="13"/>
    <w:p w14:paraId="35DF6FE2" w14:textId="77777777" w:rsidR="00026038" w:rsidRPr="008270B7" w:rsidRDefault="00026038" w:rsidP="008270B7">
      <w:pPr>
        <w:pStyle w:val="Ttulo1"/>
        <w:spacing w:before="0" w:after="0"/>
        <w:jc w:val="both"/>
        <w:rPr>
          <w:b w:val="0"/>
          <w:bCs w:val="0"/>
          <w:szCs w:val="16"/>
        </w:rPr>
      </w:pPr>
    </w:p>
    <w:p w14:paraId="4429E43E" w14:textId="77777777" w:rsidR="008270B7" w:rsidRDefault="008270B7" w:rsidP="008270B7">
      <w:pPr>
        <w:pBdr>
          <w:left w:val="single" w:sz="4" w:space="4" w:color="auto"/>
        </w:pBdr>
      </w:pPr>
    </w:p>
    <w:p w14:paraId="4942DEA1" w14:textId="77777777" w:rsidR="008270B7" w:rsidRDefault="008270B7" w:rsidP="008270B7">
      <w:pPr>
        <w:pBdr>
          <w:left w:val="single" w:sz="4" w:space="4" w:color="auto"/>
        </w:pBdr>
      </w:pPr>
    </w:p>
    <w:p w14:paraId="7BAE354D" w14:textId="77777777" w:rsidR="008270B7" w:rsidRDefault="008270B7" w:rsidP="008270B7">
      <w:pPr>
        <w:pBdr>
          <w:left w:val="single" w:sz="4" w:space="4" w:color="auto"/>
        </w:pBdr>
      </w:pPr>
    </w:p>
    <w:p w14:paraId="5D22BAEB" w14:textId="77777777" w:rsidR="008270B7" w:rsidRDefault="008270B7" w:rsidP="008270B7">
      <w:pPr>
        <w:pBdr>
          <w:left w:val="single" w:sz="4" w:space="4" w:color="auto"/>
        </w:pBdr>
      </w:pPr>
    </w:p>
    <w:p w14:paraId="2A05A501" w14:textId="77777777" w:rsidR="008270B7" w:rsidRDefault="008270B7" w:rsidP="008270B7">
      <w:pPr>
        <w:pBdr>
          <w:left w:val="single" w:sz="4" w:space="4" w:color="auto"/>
        </w:pBdr>
      </w:pPr>
    </w:p>
    <w:p w14:paraId="1D27B671" w14:textId="77777777" w:rsidR="008270B7" w:rsidRDefault="008270B7" w:rsidP="008270B7">
      <w:pPr>
        <w:pBdr>
          <w:left w:val="single" w:sz="4" w:space="4" w:color="auto"/>
        </w:pBdr>
      </w:pPr>
    </w:p>
    <w:p w14:paraId="5C00DB41" w14:textId="77777777" w:rsidR="008270B7" w:rsidRDefault="008270B7" w:rsidP="008270B7">
      <w:pPr>
        <w:pBdr>
          <w:left w:val="single" w:sz="4" w:space="4" w:color="auto"/>
        </w:pBdr>
      </w:pPr>
    </w:p>
    <w:p w14:paraId="12E3C19D" w14:textId="77777777" w:rsidR="008270B7" w:rsidRDefault="008270B7" w:rsidP="008270B7">
      <w:pPr>
        <w:pBdr>
          <w:left w:val="single" w:sz="4" w:space="4" w:color="auto"/>
        </w:pBdr>
      </w:pPr>
    </w:p>
    <w:p w14:paraId="52969E5B" w14:textId="77777777" w:rsidR="008270B7" w:rsidRDefault="008270B7" w:rsidP="008270B7">
      <w:pPr>
        <w:pBdr>
          <w:left w:val="single" w:sz="4" w:space="4" w:color="auto"/>
        </w:pBdr>
      </w:pPr>
    </w:p>
    <w:p w14:paraId="4DD3D219" w14:textId="77777777" w:rsidR="008270B7" w:rsidRDefault="008270B7" w:rsidP="008270B7">
      <w:pPr>
        <w:pBdr>
          <w:left w:val="single" w:sz="4" w:space="4" w:color="auto"/>
        </w:pBdr>
      </w:pPr>
    </w:p>
    <w:p w14:paraId="141B32A6" w14:textId="77777777" w:rsidR="008270B7" w:rsidRDefault="008270B7" w:rsidP="008270B7">
      <w:pPr>
        <w:pBdr>
          <w:left w:val="single" w:sz="4" w:space="4" w:color="auto"/>
        </w:pBdr>
      </w:pPr>
    </w:p>
    <w:p w14:paraId="37602DE6" w14:textId="77777777" w:rsidR="008270B7" w:rsidRDefault="008270B7" w:rsidP="008270B7">
      <w:pPr>
        <w:pBdr>
          <w:left w:val="single" w:sz="4" w:space="4" w:color="auto"/>
        </w:pBdr>
      </w:pPr>
    </w:p>
    <w:p w14:paraId="0D0C5907" w14:textId="77777777" w:rsidR="008270B7" w:rsidRDefault="008270B7" w:rsidP="008270B7">
      <w:pPr>
        <w:pBdr>
          <w:left w:val="single" w:sz="4" w:space="4" w:color="auto"/>
        </w:pBdr>
      </w:pPr>
    </w:p>
    <w:p w14:paraId="3BB140F9" w14:textId="77777777" w:rsidR="008270B7" w:rsidRDefault="008270B7" w:rsidP="008270B7">
      <w:pPr>
        <w:pBdr>
          <w:left w:val="single" w:sz="4" w:space="4" w:color="auto"/>
        </w:pBdr>
      </w:pPr>
    </w:p>
    <w:p w14:paraId="691575FC" w14:textId="77777777" w:rsidR="008270B7" w:rsidRDefault="008270B7" w:rsidP="008270B7">
      <w:pPr>
        <w:pBdr>
          <w:left w:val="single" w:sz="4" w:space="4" w:color="auto"/>
        </w:pBdr>
      </w:pPr>
    </w:p>
    <w:p w14:paraId="2947D11D" w14:textId="77777777" w:rsidR="008270B7" w:rsidRDefault="008270B7" w:rsidP="008270B7">
      <w:pPr>
        <w:pBdr>
          <w:left w:val="single" w:sz="4" w:space="4" w:color="auto"/>
        </w:pBdr>
      </w:pPr>
    </w:p>
    <w:p w14:paraId="59D88A2B" w14:textId="77777777" w:rsidR="008270B7" w:rsidRDefault="008270B7" w:rsidP="008270B7">
      <w:pPr>
        <w:pBdr>
          <w:left w:val="single" w:sz="4" w:space="4" w:color="auto"/>
        </w:pBdr>
      </w:pPr>
    </w:p>
    <w:p w14:paraId="2FC9BB47" w14:textId="77777777" w:rsidR="008270B7" w:rsidRDefault="008270B7" w:rsidP="008270B7">
      <w:pPr>
        <w:pBdr>
          <w:left w:val="single" w:sz="4" w:space="4" w:color="auto"/>
        </w:pBdr>
      </w:pPr>
    </w:p>
    <w:p w14:paraId="67D3DE5A" w14:textId="77777777" w:rsidR="008270B7" w:rsidRDefault="008270B7" w:rsidP="008270B7">
      <w:pPr>
        <w:pBdr>
          <w:left w:val="single" w:sz="4" w:space="4" w:color="auto"/>
        </w:pBdr>
      </w:pPr>
    </w:p>
    <w:p w14:paraId="6F961B5A" w14:textId="77777777" w:rsidR="008270B7" w:rsidRDefault="008270B7" w:rsidP="008270B7">
      <w:pPr>
        <w:pBdr>
          <w:left w:val="single" w:sz="4" w:space="4" w:color="auto"/>
        </w:pBdr>
      </w:pPr>
    </w:p>
    <w:p w14:paraId="73C1A22A" w14:textId="77777777" w:rsidR="008270B7" w:rsidRDefault="008270B7" w:rsidP="008270B7">
      <w:pPr>
        <w:pBdr>
          <w:left w:val="single" w:sz="4" w:space="4" w:color="auto"/>
        </w:pBdr>
      </w:pPr>
    </w:p>
    <w:p w14:paraId="01EB0861" w14:textId="77777777" w:rsidR="008270B7" w:rsidRDefault="008270B7" w:rsidP="008270B7">
      <w:pPr>
        <w:pBdr>
          <w:left w:val="single" w:sz="4" w:space="4" w:color="auto"/>
        </w:pBdr>
      </w:pPr>
    </w:p>
    <w:p w14:paraId="7DD66D1C" w14:textId="77777777" w:rsidR="008270B7" w:rsidRDefault="008270B7" w:rsidP="008270B7">
      <w:pPr>
        <w:pBdr>
          <w:left w:val="single" w:sz="4" w:space="4" w:color="auto"/>
        </w:pBdr>
      </w:pPr>
    </w:p>
    <w:p w14:paraId="69259B74" w14:textId="77777777" w:rsidR="008270B7" w:rsidRDefault="008270B7" w:rsidP="008270B7">
      <w:pPr>
        <w:pBdr>
          <w:left w:val="single" w:sz="4" w:space="4" w:color="auto"/>
        </w:pBdr>
      </w:pPr>
    </w:p>
    <w:p w14:paraId="6A5E1FE9" w14:textId="77777777" w:rsidR="008270B7" w:rsidRDefault="008270B7" w:rsidP="008270B7">
      <w:pPr>
        <w:pBdr>
          <w:left w:val="single" w:sz="4" w:space="4" w:color="auto"/>
        </w:pBdr>
      </w:pPr>
    </w:p>
    <w:p w14:paraId="399F1511" w14:textId="77777777" w:rsidR="008270B7" w:rsidRDefault="008270B7" w:rsidP="008270B7">
      <w:pPr>
        <w:pBdr>
          <w:left w:val="single" w:sz="4" w:space="4" w:color="auto"/>
        </w:pBdr>
      </w:pPr>
    </w:p>
    <w:p w14:paraId="11F0301F" w14:textId="77777777" w:rsidR="008270B7" w:rsidRDefault="008270B7" w:rsidP="008270B7">
      <w:pPr>
        <w:pBdr>
          <w:left w:val="single" w:sz="4" w:space="4" w:color="auto"/>
        </w:pBdr>
      </w:pPr>
    </w:p>
    <w:p w14:paraId="3FE185EC" w14:textId="77777777" w:rsidR="008270B7" w:rsidRDefault="008270B7" w:rsidP="008270B7">
      <w:pPr>
        <w:pBdr>
          <w:left w:val="single" w:sz="4" w:space="4" w:color="auto"/>
        </w:pBdr>
      </w:pPr>
    </w:p>
    <w:p w14:paraId="068EDB84" w14:textId="77777777" w:rsidR="008270B7" w:rsidRDefault="008270B7" w:rsidP="008270B7">
      <w:pPr>
        <w:pBdr>
          <w:left w:val="single" w:sz="4" w:space="4" w:color="auto"/>
        </w:pBdr>
      </w:pPr>
    </w:p>
    <w:p w14:paraId="4D243731" w14:textId="77777777" w:rsidR="008270B7" w:rsidRDefault="008270B7" w:rsidP="008270B7">
      <w:pPr>
        <w:pBdr>
          <w:left w:val="single" w:sz="4" w:space="4" w:color="auto"/>
        </w:pBdr>
      </w:pPr>
    </w:p>
    <w:p w14:paraId="45FC9612" w14:textId="77777777" w:rsidR="008270B7" w:rsidRDefault="008270B7" w:rsidP="008270B7">
      <w:pPr>
        <w:pBdr>
          <w:left w:val="single" w:sz="4" w:space="4" w:color="auto"/>
        </w:pBdr>
      </w:pPr>
    </w:p>
    <w:p w14:paraId="1839D5A0" w14:textId="77777777" w:rsidR="008270B7" w:rsidRDefault="008270B7" w:rsidP="008270B7">
      <w:pPr>
        <w:pBdr>
          <w:left w:val="single" w:sz="4" w:space="4" w:color="auto"/>
        </w:pBdr>
      </w:pPr>
    </w:p>
    <w:p w14:paraId="0CF8EE2C" w14:textId="77777777" w:rsidR="008270B7" w:rsidRDefault="008270B7" w:rsidP="008270B7">
      <w:pPr>
        <w:pBdr>
          <w:left w:val="single" w:sz="4" w:space="4" w:color="auto"/>
        </w:pBdr>
      </w:pPr>
    </w:p>
    <w:p w14:paraId="56632970" w14:textId="77777777" w:rsidR="008270B7" w:rsidRDefault="008270B7" w:rsidP="008270B7">
      <w:pPr>
        <w:pBdr>
          <w:left w:val="single" w:sz="4" w:space="4" w:color="auto"/>
        </w:pBdr>
      </w:pPr>
    </w:p>
    <w:p w14:paraId="7A53603F" w14:textId="77777777" w:rsidR="008270B7" w:rsidRDefault="008270B7" w:rsidP="008270B7">
      <w:pPr>
        <w:pBdr>
          <w:left w:val="single" w:sz="4" w:space="4" w:color="auto"/>
        </w:pBdr>
      </w:pPr>
    </w:p>
    <w:p w14:paraId="00C6ABEF" w14:textId="77777777" w:rsidR="008270B7" w:rsidRDefault="008270B7" w:rsidP="008270B7">
      <w:pPr>
        <w:pBdr>
          <w:left w:val="single" w:sz="4" w:space="4" w:color="auto"/>
        </w:pBdr>
      </w:pPr>
    </w:p>
    <w:p w14:paraId="0BD39AED" w14:textId="77777777" w:rsidR="008270B7" w:rsidRDefault="008270B7"/>
    <w:p w14:paraId="57D4070B" w14:textId="60BE9E81" w:rsidR="008270B7" w:rsidRDefault="008270B7">
      <w:r>
        <w:br w:type="page"/>
      </w:r>
    </w:p>
    <w:p w14:paraId="5B006FD6" w14:textId="77777777" w:rsidR="00026038" w:rsidRPr="008270B7" w:rsidRDefault="00026038" w:rsidP="008270B7">
      <w:pPr>
        <w:pStyle w:val="Ttulo1"/>
        <w:spacing w:before="0" w:after="0"/>
        <w:jc w:val="both"/>
        <w:rPr>
          <w:b w:val="0"/>
          <w:bCs w:val="0"/>
          <w:szCs w:val="16"/>
        </w:rPr>
      </w:pPr>
    </w:p>
    <w:p w14:paraId="3ACF5523" w14:textId="77777777" w:rsidR="00622816" w:rsidRPr="008270B7" w:rsidRDefault="00622816" w:rsidP="008270B7">
      <w:pPr>
        <w:pStyle w:val="Ttulo1"/>
        <w:spacing w:before="0" w:after="0"/>
        <w:jc w:val="both"/>
        <w:rPr>
          <w:b w:val="0"/>
          <w:bCs w:val="0"/>
          <w:szCs w:val="16"/>
        </w:rPr>
      </w:pPr>
      <w:r w:rsidRPr="008270B7">
        <w:rPr>
          <w:b w:val="0"/>
          <w:bCs w:val="0"/>
          <w:szCs w:val="16"/>
        </w:rPr>
        <w:t xml:space="preserve">3. REGLAS PARTICULARES APLICABLES A CIERTOS RAMOS  </w:t>
      </w:r>
    </w:p>
    <w:p w14:paraId="3F01E4E0" w14:textId="77777777" w:rsidR="00622816" w:rsidRPr="008270B7" w:rsidRDefault="00622816" w:rsidP="008270B7">
      <w:pPr>
        <w:tabs>
          <w:tab w:val="left" w:pos="720"/>
        </w:tabs>
        <w:jc w:val="both"/>
        <w:rPr>
          <w:rFonts w:cs="Arial"/>
          <w:sz w:val="16"/>
          <w:szCs w:val="16"/>
        </w:rPr>
      </w:pPr>
    </w:p>
    <w:p w14:paraId="46B631F4" w14:textId="77777777" w:rsidR="00622816" w:rsidRPr="008270B7" w:rsidRDefault="00622816" w:rsidP="008270B7">
      <w:pPr>
        <w:pStyle w:val="Ttulo2"/>
        <w:jc w:val="both"/>
        <w:rPr>
          <w:b w:val="0"/>
          <w:bCs w:val="0"/>
          <w:szCs w:val="16"/>
        </w:rPr>
      </w:pPr>
      <w:bookmarkStart w:id="14" w:name="_Toc269950166"/>
      <w:r w:rsidRPr="008270B7">
        <w:rPr>
          <w:b w:val="0"/>
          <w:bCs w:val="0"/>
          <w:szCs w:val="16"/>
        </w:rPr>
        <w:t>3.1. Reglas aplicables al seguro obligatorio de daños corporales causados a las personas en accidentes de tránsito (SOAT)</w:t>
      </w:r>
      <w:bookmarkEnd w:id="14"/>
    </w:p>
    <w:p w14:paraId="56A7298B" w14:textId="77777777" w:rsidR="00622816" w:rsidRPr="008270B7" w:rsidRDefault="00622816" w:rsidP="008270B7">
      <w:pPr>
        <w:tabs>
          <w:tab w:val="left" w:pos="720"/>
        </w:tabs>
        <w:jc w:val="both"/>
        <w:rPr>
          <w:rFonts w:cs="Arial"/>
          <w:sz w:val="16"/>
          <w:szCs w:val="16"/>
        </w:rPr>
      </w:pPr>
    </w:p>
    <w:p w14:paraId="65F19368" w14:textId="77777777" w:rsidR="00622816" w:rsidRPr="008270B7" w:rsidRDefault="00622816" w:rsidP="008270B7">
      <w:pPr>
        <w:tabs>
          <w:tab w:val="left" w:pos="720"/>
        </w:tabs>
        <w:jc w:val="both"/>
        <w:rPr>
          <w:rFonts w:cs="Arial"/>
          <w:sz w:val="16"/>
          <w:szCs w:val="16"/>
        </w:rPr>
      </w:pPr>
      <w:r w:rsidRPr="008270B7">
        <w:rPr>
          <w:rFonts w:cs="Arial"/>
          <w:sz w:val="16"/>
          <w:szCs w:val="16"/>
        </w:rPr>
        <w:t>3.1.1. Obligatoriedad de la expedición de pólizas</w:t>
      </w:r>
    </w:p>
    <w:p w14:paraId="7FB0FBC8" w14:textId="77777777" w:rsidR="00622816" w:rsidRPr="008270B7" w:rsidRDefault="00622816" w:rsidP="008270B7">
      <w:pPr>
        <w:tabs>
          <w:tab w:val="left" w:pos="720"/>
        </w:tabs>
        <w:jc w:val="both"/>
        <w:rPr>
          <w:rFonts w:cs="Arial"/>
          <w:sz w:val="16"/>
          <w:szCs w:val="16"/>
        </w:rPr>
      </w:pPr>
    </w:p>
    <w:p w14:paraId="43B8234A" w14:textId="77777777" w:rsidR="00622816" w:rsidRPr="008270B7" w:rsidRDefault="00622816" w:rsidP="008270B7">
      <w:pPr>
        <w:pStyle w:val="Textoindependiente"/>
        <w:tabs>
          <w:tab w:val="left" w:pos="720"/>
        </w:tabs>
        <w:rPr>
          <w:rFonts w:cs="Arial"/>
          <w:b w:val="0"/>
          <w:sz w:val="16"/>
          <w:szCs w:val="16"/>
          <w:lang w:val="es-CO"/>
        </w:rPr>
      </w:pPr>
      <w:r w:rsidRPr="008270B7">
        <w:rPr>
          <w:rFonts w:cs="Arial"/>
          <w:b w:val="0"/>
          <w:sz w:val="16"/>
          <w:szCs w:val="16"/>
          <w:lang w:val="es-VE"/>
        </w:rPr>
        <w:t xml:space="preserve">Las entidades aseguradoras que cuentan con autorización para la explotación del SOAT están obligadas, sin excepción, a aceptar y expedir dicho seguro obligatorio. En tal virtud, cualquier conducta directa o indirectamente tendiente a rechazar la expedición </w:t>
      </w:r>
      <w:r w:rsidRPr="008270B7">
        <w:rPr>
          <w:rFonts w:cs="Arial"/>
          <w:b w:val="0"/>
          <w:sz w:val="16"/>
          <w:szCs w:val="16"/>
        </w:rPr>
        <w:t xml:space="preserve">del seguro resulta contraria a la normatividad vigente, y por ende constituye una práctica ilegal. </w:t>
      </w:r>
      <w:r w:rsidRPr="008270B7">
        <w:rPr>
          <w:rFonts w:cs="Arial"/>
          <w:b w:val="0"/>
          <w:sz w:val="16"/>
          <w:szCs w:val="16"/>
          <w:lang w:val="es-CO"/>
        </w:rPr>
        <w:t>En el evento en que se expida la póliza electrónicamente, las entidades aseguradoras deben tomar medidas para cumplir lo establecido en el Capítulo 47, Título 2, Parte 2, Libro 2 del Decreto 1074 de 2015, respecto de la firma electrónica.</w:t>
      </w:r>
    </w:p>
    <w:p w14:paraId="0A2E9CA3" w14:textId="77777777" w:rsidR="00622816" w:rsidRPr="008270B7" w:rsidRDefault="00622816" w:rsidP="008270B7">
      <w:pPr>
        <w:pStyle w:val="Textoindependiente"/>
        <w:tabs>
          <w:tab w:val="left" w:pos="720"/>
        </w:tabs>
        <w:rPr>
          <w:rFonts w:cs="Arial"/>
          <w:b w:val="0"/>
          <w:sz w:val="16"/>
          <w:szCs w:val="16"/>
          <w:lang w:val="es-CO"/>
        </w:rPr>
      </w:pPr>
    </w:p>
    <w:p w14:paraId="393BC905" w14:textId="77777777" w:rsidR="00622816" w:rsidRPr="008270B7" w:rsidRDefault="00622816" w:rsidP="008270B7">
      <w:pPr>
        <w:pStyle w:val="Textoindependiente"/>
        <w:tabs>
          <w:tab w:val="left" w:pos="720"/>
        </w:tabs>
        <w:rPr>
          <w:rFonts w:cs="Arial"/>
          <w:b w:val="0"/>
          <w:sz w:val="16"/>
          <w:szCs w:val="16"/>
        </w:rPr>
      </w:pPr>
      <w:r w:rsidRPr="008270B7">
        <w:rPr>
          <w:rFonts w:cs="Arial"/>
          <w:b w:val="0"/>
          <w:sz w:val="16"/>
          <w:szCs w:val="16"/>
        </w:rPr>
        <w:t xml:space="preserve">El incumplimiento a las disposiciones que regulan este seguro, compromete directamente la responsabilidad de los directores, administradores y demás funcionarios de la entidad vinculados al manejo de este seguro, en los términos que prevé el art. 209 </w:t>
      </w:r>
      <w:r w:rsidRPr="008270B7">
        <w:rPr>
          <w:rFonts w:cs="Arial"/>
          <w:b w:val="0"/>
          <w:sz w:val="16"/>
          <w:szCs w:val="16"/>
          <w:lang w:val="es-CO"/>
        </w:rPr>
        <w:t xml:space="preserve">del </w:t>
      </w:r>
      <w:r w:rsidRPr="008270B7">
        <w:rPr>
          <w:rFonts w:cs="Arial"/>
          <w:b w:val="0"/>
          <w:sz w:val="16"/>
          <w:szCs w:val="16"/>
        </w:rPr>
        <w:t>EOSF.</w:t>
      </w:r>
    </w:p>
    <w:p w14:paraId="459B9A4F" w14:textId="77777777" w:rsidR="00622816" w:rsidRPr="008270B7" w:rsidRDefault="00622816" w:rsidP="008270B7">
      <w:pPr>
        <w:jc w:val="both"/>
        <w:rPr>
          <w:rFonts w:cs="Arial"/>
          <w:sz w:val="16"/>
          <w:szCs w:val="16"/>
        </w:rPr>
      </w:pPr>
    </w:p>
    <w:p w14:paraId="7D7BAC33" w14:textId="77777777" w:rsidR="00622816" w:rsidRPr="008270B7" w:rsidRDefault="00622816" w:rsidP="008270B7">
      <w:pPr>
        <w:jc w:val="both"/>
        <w:rPr>
          <w:rFonts w:cs="Arial"/>
          <w:sz w:val="16"/>
          <w:szCs w:val="16"/>
        </w:rPr>
      </w:pPr>
      <w:r w:rsidRPr="008270B7">
        <w:rPr>
          <w:rFonts w:cs="Arial"/>
          <w:sz w:val="16"/>
          <w:szCs w:val="16"/>
        </w:rPr>
        <w:t>La obligatoriedad de la expedición de la póliza está sujeta a la verificación del interés asegurable del asegurado, cuya existencia podrá constatarse mediante:</w:t>
      </w:r>
    </w:p>
    <w:p w14:paraId="0C8A2920" w14:textId="77777777" w:rsidR="00622816" w:rsidRPr="008270B7" w:rsidRDefault="00622816" w:rsidP="008270B7">
      <w:pPr>
        <w:jc w:val="both"/>
        <w:rPr>
          <w:rFonts w:cs="Arial"/>
          <w:sz w:val="16"/>
          <w:szCs w:val="16"/>
        </w:rPr>
      </w:pPr>
    </w:p>
    <w:p w14:paraId="2B586933" w14:textId="77777777" w:rsidR="00622816" w:rsidRPr="008270B7" w:rsidRDefault="00622816" w:rsidP="008270B7">
      <w:pPr>
        <w:jc w:val="both"/>
        <w:rPr>
          <w:rFonts w:cs="Arial"/>
          <w:sz w:val="16"/>
          <w:szCs w:val="16"/>
        </w:rPr>
      </w:pPr>
      <w:r w:rsidRPr="008270B7">
        <w:rPr>
          <w:rFonts w:cs="Arial"/>
          <w:sz w:val="16"/>
          <w:szCs w:val="16"/>
        </w:rPr>
        <w:t>3.1.1.1. La verificación en línea de la información registrada en el Registro Único Nacional de Tránsito (RUNT), salvo los vehículos de servicio diplomático y los vehículos con placas extranjeras.</w:t>
      </w:r>
    </w:p>
    <w:p w14:paraId="79C88252" w14:textId="77777777" w:rsidR="00622816" w:rsidRPr="008270B7" w:rsidRDefault="00622816" w:rsidP="008270B7">
      <w:pPr>
        <w:jc w:val="both"/>
        <w:rPr>
          <w:rFonts w:cs="Arial"/>
          <w:sz w:val="16"/>
          <w:szCs w:val="16"/>
        </w:rPr>
      </w:pPr>
    </w:p>
    <w:p w14:paraId="1C3C77DB" w14:textId="77777777" w:rsidR="00622816" w:rsidRPr="008270B7" w:rsidRDefault="00622816" w:rsidP="008270B7">
      <w:pPr>
        <w:jc w:val="both"/>
        <w:rPr>
          <w:rFonts w:cs="Arial"/>
          <w:sz w:val="16"/>
          <w:szCs w:val="16"/>
        </w:rPr>
      </w:pPr>
      <w:r w:rsidRPr="008270B7">
        <w:rPr>
          <w:rFonts w:cs="Arial"/>
          <w:sz w:val="16"/>
          <w:szCs w:val="16"/>
        </w:rPr>
        <w:t>3.1.1.2. La exhibición de la licencia de tránsito.</w:t>
      </w:r>
    </w:p>
    <w:p w14:paraId="56CECDF8" w14:textId="77777777" w:rsidR="00622816" w:rsidRPr="008270B7" w:rsidRDefault="00622816" w:rsidP="008270B7">
      <w:pPr>
        <w:jc w:val="both"/>
        <w:rPr>
          <w:rFonts w:cs="Arial"/>
          <w:sz w:val="16"/>
          <w:szCs w:val="16"/>
        </w:rPr>
      </w:pPr>
    </w:p>
    <w:p w14:paraId="56C092E3" w14:textId="77777777" w:rsidR="00622816" w:rsidRPr="008270B7" w:rsidRDefault="00622816" w:rsidP="008270B7">
      <w:pPr>
        <w:jc w:val="both"/>
        <w:rPr>
          <w:rFonts w:cs="Arial"/>
          <w:sz w:val="16"/>
          <w:szCs w:val="16"/>
        </w:rPr>
      </w:pPr>
      <w:r w:rsidRPr="008270B7">
        <w:rPr>
          <w:rFonts w:cs="Arial"/>
          <w:sz w:val="16"/>
          <w:szCs w:val="16"/>
        </w:rPr>
        <w:t>3.1.1.3. El documento equivalente a la licencia de tránsito, donde conste la información que identifique al vehículo objeto del contrato de seguro, en el caso de vehículos extranjeros que ingresen al territorio nacional.</w:t>
      </w:r>
    </w:p>
    <w:p w14:paraId="34CFE89B" w14:textId="77777777" w:rsidR="00622816" w:rsidRPr="008270B7" w:rsidRDefault="00622816" w:rsidP="008270B7">
      <w:pPr>
        <w:jc w:val="both"/>
        <w:rPr>
          <w:rFonts w:cs="Arial"/>
          <w:sz w:val="16"/>
          <w:szCs w:val="16"/>
        </w:rPr>
      </w:pPr>
    </w:p>
    <w:p w14:paraId="271B497E" w14:textId="77777777" w:rsidR="00622816" w:rsidRPr="008270B7" w:rsidRDefault="00622816" w:rsidP="008270B7">
      <w:pPr>
        <w:tabs>
          <w:tab w:val="left" w:pos="720"/>
        </w:tabs>
        <w:jc w:val="both"/>
        <w:rPr>
          <w:rFonts w:cs="Arial"/>
          <w:sz w:val="16"/>
          <w:szCs w:val="16"/>
        </w:rPr>
      </w:pPr>
      <w:r w:rsidRPr="008270B7">
        <w:rPr>
          <w:rFonts w:cs="Arial"/>
          <w:sz w:val="16"/>
          <w:szCs w:val="16"/>
        </w:rPr>
        <w:t>3.1.1.4. La licencia de importación para los vehículos importados que se desplacen del puerto a los concesionarios para su venta al público.</w:t>
      </w:r>
    </w:p>
    <w:p w14:paraId="5CDF2FAD" w14:textId="77777777" w:rsidR="00622816" w:rsidRPr="008270B7" w:rsidRDefault="00622816" w:rsidP="008270B7">
      <w:pPr>
        <w:tabs>
          <w:tab w:val="left" w:pos="720"/>
        </w:tabs>
        <w:jc w:val="both"/>
        <w:rPr>
          <w:rFonts w:cs="Arial"/>
          <w:sz w:val="16"/>
          <w:szCs w:val="16"/>
        </w:rPr>
      </w:pPr>
    </w:p>
    <w:p w14:paraId="7934F5EE" w14:textId="77777777" w:rsidR="00622816" w:rsidRPr="008270B7" w:rsidRDefault="00622816" w:rsidP="008270B7">
      <w:pPr>
        <w:tabs>
          <w:tab w:val="left" w:pos="720"/>
        </w:tabs>
        <w:jc w:val="both"/>
        <w:rPr>
          <w:rFonts w:cs="Arial"/>
          <w:sz w:val="16"/>
          <w:szCs w:val="16"/>
        </w:rPr>
      </w:pPr>
      <w:r w:rsidRPr="008270B7">
        <w:rPr>
          <w:rFonts w:cs="Arial"/>
          <w:sz w:val="16"/>
          <w:szCs w:val="16"/>
        </w:rPr>
        <w:t>3.1.1.5. El medio verificable escogido por la entidad aseguradora en aquellos vehículos que no se ajusten a los casos anteriormente listados.</w:t>
      </w:r>
    </w:p>
    <w:p w14:paraId="7FCBB5DA" w14:textId="77777777" w:rsidR="00622816" w:rsidRPr="008270B7" w:rsidRDefault="00622816" w:rsidP="008270B7">
      <w:pPr>
        <w:pStyle w:val="Textoindependiente210"/>
        <w:tabs>
          <w:tab w:val="clear" w:pos="851"/>
          <w:tab w:val="left" w:pos="0"/>
          <w:tab w:val="left" w:pos="720"/>
        </w:tabs>
        <w:rPr>
          <w:rFonts w:cs="Arial"/>
          <w:sz w:val="16"/>
          <w:szCs w:val="16"/>
        </w:rPr>
      </w:pPr>
    </w:p>
    <w:p w14:paraId="450C58EB" w14:textId="77777777" w:rsidR="00622816" w:rsidRPr="008270B7" w:rsidRDefault="00622816" w:rsidP="008270B7">
      <w:pPr>
        <w:pStyle w:val="Textoindependiente210"/>
        <w:tabs>
          <w:tab w:val="clear" w:pos="851"/>
          <w:tab w:val="left" w:pos="0"/>
          <w:tab w:val="left" w:pos="720"/>
        </w:tabs>
        <w:rPr>
          <w:rFonts w:cs="Arial"/>
          <w:sz w:val="16"/>
          <w:szCs w:val="16"/>
        </w:rPr>
      </w:pPr>
      <w:r w:rsidRPr="008270B7">
        <w:rPr>
          <w:rFonts w:cs="Arial"/>
          <w:sz w:val="16"/>
          <w:szCs w:val="16"/>
        </w:rPr>
        <w:t>3.1.2. Control en la expedición mediante mecanismos de mercadeo masivo</w:t>
      </w:r>
    </w:p>
    <w:p w14:paraId="05BBF86E" w14:textId="77777777" w:rsidR="00622816" w:rsidRPr="008270B7" w:rsidRDefault="00622816" w:rsidP="008270B7">
      <w:pPr>
        <w:tabs>
          <w:tab w:val="left" w:pos="720"/>
        </w:tabs>
        <w:jc w:val="both"/>
        <w:rPr>
          <w:rFonts w:cs="Arial"/>
          <w:sz w:val="16"/>
          <w:szCs w:val="16"/>
        </w:rPr>
      </w:pPr>
    </w:p>
    <w:p w14:paraId="17364B43" w14:textId="77777777" w:rsidR="00622816" w:rsidRPr="008270B7" w:rsidRDefault="00622816" w:rsidP="008270B7">
      <w:pPr>
        <w:tabs>
          <w:tab w:val="left" w:pos="720"/>
        </w:tabs>
        <w:jc w:val="both"/>
        <w:rPr>
          <w:rFonts w:cs="Arial"/>
          <w:sz w:val="16"/>
          <w:szCs w:val="16"/>
        </w:rPr>
      </w:pPr>
      <w:r w:rsidRPr="008270B7">
        <w:rPr>
          <w:rFonts w:cs="Arial"/>
          <w:sz w:val="16"/>
          <w:szCs w:val="16"/>
        </w:rPr>
        <w:t xml:space="preserve">Los errores que ocurran en la expedición de las pólizas del </w:t>
      </w:r>
      <w:proofErr w:type="gramStart"/>
      <w:r w:rsidRPr="008270B7">
        <w:rPr>
          <w:rFonts w:cs="Arial"/>
          <w:sz w:val="16"/>
          <w:szCs w:val="16"/>
        </w:rPr>
        <w:t>SOAT,</w:t>
      </w:r>
      <w:proofErr w:type="gramEnd"/>
      <w:r w:rsidRPr="008270B7">
        <w:rPr>
          <w:rFonts w:cs="Arial"/>
          <w:sz w:val="16"/>
          <w:szCs w:val="16"/>
        </w:rPr>
        <w:t xml:space="preserve"> sean </w:t>
      </w:r>
      <w:proofErr w:type="gramStart"/>
      <w:r w:rsidRPr="008270B7">
        <w:rPr>
          <w:rFonts w:cs="Arial"/>
          <w:sz w:val="16"/>
          <w:szCs w:val="16"/>
        </w:rPr>
        <w:t>éstos</w:t>
      </w:r>
      <w:proofErr w:type="gramEnd"/>
      <w:r w:rsidRPr="008270B7">
        <w:rPr>
          <w:rFonts w:cs="Arial"/>
          <w:sz w:val="16"/>
          <w:szCs w:val="16"/>
        </w:rPr>
        <w:t xml:space="preserve"> voluntarios o involuntarios, son inoponibles a las víctimas de los accidentes que vayan a ser indemnizadas. Por esta razón, las entidades aseguradoras que tienen autorizada la explotación de este ramo y que utilicen mecanismos de mercadeo masivo, deben adoptar las precauciones y controles necesarios para garantizar la validez de las pólizas y verificar las condiciones de las liquidaciones de las primas generadas por el seguro.</w:t>
      </w:r>
    </w:p>
    <w:p w14:paraId="18F1FEC4" w14:textId="77777777" w:rsidR="00622816" w:rsidRPr="008270B7" w:rsidRDefault="00622816" w:rsidP="008270B7">
      <w:pPr>
        <w:jc w:val="both"/>
        <w:rPr>
          <w:rFonts w:cs="Arial"/>
          <w:sz w:val="16"/>
          <w:szCs w:val="16"/>
        </w:rPr>
      </w:pPr>
    </w:p>
    <w:p w14:paraId="16C76C3D" w14:textId="77777777" w:rsidR="00622816" w:rsidRPr="008270B7" w:rsidRDefault="00622816" w:rsidP="008270B7">
      <w:pPr>
        <w:pStyle w:val="Textodecuerpo21"/>
        <w:tabs>
          <w:tab w:val="clear" w:pos="851"/>
          <w:tab w:val="left" w:pos="0"/>
          <w:tab w:val="left" w:pos="720"/>
        </w:tabs>
        <w:ind w:right="51"/>
        <w:rPr>
          <w:rFonts w:cs="Arial"/>
          <w:sz w:val="16"/>
          <w:szCs w:val="16"/>
        </w:rPr>
      </w:pPr>
      <w:r w:rsidRPr="008270B7">
        <w:rPr>
          <w:rFonts w:cs="Arial"/>
          <w:sz w:val="16"/>
          <w:szCs w:val="16"/>
        </w:rPr>
        <w:t>3.1.3. Transferencias de recursos al FONSAT</w:t>
      </w:r>
    </w:p>
    <w:p w14:paraId="7B901B20" w14:textId="77777777" w:rsidR="00622816" w:rsidRPr="008270B7" w:rsidRDefault="00622816" w:rsidP="008270B7">
      <w:pPr>
        <w:pStyle w:val="Textodecuerpo21"/>
        <w:tabs>
          <w:tab w:val="clear" w:pos="851"/>
          <w:tab w:val="left" w:pos="0"/>
          <w:tab w:val="left" w:pos="720"/>
        </w:tabs>
        <w:ind w:right="51"/>
        <w:rPr>
          <w:rFonts w:cs="Arial"/>
          <w:sz w:val="16"/>
          <w:szCs w:val="16"/>
        </w:rPr>
      </w:pPr>
    </w:p>
    <w:p w14:paraId="626D98F4" w14:textId="77777777" w:rsidR="00622816" w:rsidRPr="008270B7" w:rsidRDefault="00622816" w:rsidP="008270B7">
      <w:pPr>
        <w:tabs>
          <w:tab w:val="left" w:pos="720"/>
        </w:tabs>
        <w:ind w:right="51"/>
        <w:jc w:val="both"/>
        <w:rPr>
          <w:rFonts w:cs="Arial"/>
          <w:sz w:val="16"/>
          <w:szCs w:val="16"/>
        </w:rPr>
      </w:pPr>
      <w:r w:rsidRPr="008270B7">
        <w:rPr>
          <w:rFonts w:cs="Arial"/>
          <w:sz w:val="16"/>
          <w:szCs w:val="16"/>
        </w:rPr>
        <w:t>Para el adecuado cumplimiento de lo dispuesto en el numeral 2 del art. 199 del EOSF, las entidades aseguradoras deben tener en cuenta las siguientes instrucciones:</w:t>
      </w:r>
    </w:p>
    <w:p w14:paraId="2191AC13" w14:textId="77777777" w:rsidR="00622816" w:rsidRPr="008270B7" w:rsidRDefault="00622816" w:rsidP="008270B7">
      <w:pPr>
        <w:tabs>
          <w:tab w:val="left" w:pos="720"/>
        </w:tabs>
        <w:ind w:right="51"/>
        <w:jc w:val="both"/>
        <w:rPr>
          <w:rFonts w:cs="Arial"/>
          <w:sz w:val="16"/>
          <w:szCs w:val="16"/>
        </w:rPr>
      </w:pPr>
    </w:p>
    <w:p w14:paraId="6C8309CD" w14:textId="77777777" w:rsidR="00622816" w:rsidRPr="008270B7" w:rsidRDefault="00622816" w:rsidP="008270B7">
      <w:pPr>
        <w:tabs>
          <w:tab w:val="left" w:pos="720"/>
        </w:tabs>
        <w:ind w:right="51"/>
        <w:jc w:val="both"/>
        <w:rPr>
          <w:rFonts w:cs="Arial"/>
          <w:sz w:val="16"/>
          <w:szCs w:val="16"/>
        </w:rPr>
      </w:pPr>
      <w:r w:rsidRPr="008270B7">
        <w:rPr>
          <w:rFonts w:cs="Arial"/>
          <w:sz w:val="16"/>
          <w:szCs w:val="16"/>
        </w:rPr>
        <w:t>3.1.3.1. Transferencia anual de excedentes. Para los efectos del inciso tercero, numeral 2 del art. 199 del EOSF, la entidad aseguradora debe verificar dentro de los 2 meses siguientes al corte del 31 de diciembre de cada año que el total de las transferencias que haya efectuado durante cada período anual al fondo del seguro obligatorio de accidentes de tránsito –FONSAT-, corresponda cuando menos al 50% de los excedentes de operación del ramo. Si no fuere así, debe transferirse el faltante dentro de los primeros 15 días hábiles del mes de marzo de cada año. El cálculo de los excedentes se determina según la metodología descrita en la proforma F.3000-49 de la SFC (anexo 26 del presente título), para lo cual se debe tener en cuenta que la sumatoria de los valores correspondientes a las operaciones relacionadas con el seguro obligatorio de daños corporales causados a las personas en accidentes de tránsito, SOAT, contabilizadas en los códigos asignados en el PUC para el sector asegurador, debe ser inferior, o a lo sumo igual al 25% de las primas emitidas durante el período respectivo.</w:t>
      </w:r>
    </w:p>
    <w:p w14:paraId="7A1BE073" w14:textId="77777777" w:rsidR="00622816" w:rsidRPr="008270B7" w:rsidRDefault="00622816" w:rsidP="008270B7">
      <w:pPr>
        <w:tabs>
          <w:tab w:val="left" w:pos="720"/>
        </w:tabs>
        <w:ind w:right="51"/>
        <w:jc w:val="both"/>
        <w:rPr>
          <w:rFonts w:cs="Arial"/>
          <w:sz w:val="16"/>
          <w:szCs w:val="16"/>
        </w:rPr>
      </w:pPr>
    </w:p>
    <w:p w14:paraId="1A7E9A09" w14:textId="77777777" w:rsidR="00622816" w:rsidRPr="008270B7" w:rsidRDefault="00622816" w:rsidP="008270B7">
      <w:pPr>
        <w:tabs>
          <w:tab w:val="left" w:pos="720"/>
        </w:tabs>
        <w:ind w:right="51"/>
        <w:jc w:val="both"/>
        <w:rPr>
          <w:rFonts w:cs="Arial"/>
          <w:sz w:val="16"/>
          <w:szCs w:val="16"/>
        </w:rPr>
      </w:pPr>
      <w:r w:rsidRPr="008270B7">
        <w:rPr>
          <w:rFonts w:cs="Arial"/>
          <w:sz w:val="16"/>
          <w:szCs w:val="16"/>
        </w:rPr>
        <w:t>3.1.3.2. Transferencias adicionales al FONSAT. Las transferencias adicionales a que haya lugar por virtud de lo dispuesto en el inciso segundo, numeral 2 del art. 199 del EOSF se deben realizar en las fechas que para ello determine el FONSAT.</w:t>
      </w:r>
    </w:p>
    <w:p w14:paraId="05E8014C" w14:textId="77777777" w:rsidR="00622816" w:rsidRPr="008270B7" w:rsidRDefault="00622816" w:rsidP="008270B7">
      <w:pPr>
        <w:tabs>
          <w:tab w:val="left" w:pos="720"/>
        </w:tabs>
        <w:ind w:right="618"/>
        <w:jc w:val="both"/>
        <w:rPr>
          <w:rFonts w:cs="Arial"/>
          <w:b/>
          <w:bCs/>
          <w:sz w:val="16"/>
          <w:szCs w:val="16"/>
        </w:rPr>
      </w:pPr>
    </w:p>
    <w:p w14:paraId="64F72A98" w14:textId="50B92A7C" w:rsidR="008270B7" w:rsidRPr="008270B7" w:rsidRDefault="008270B7" w:rsidP="008270B7">
      <w:pPr>
        <w:pBdr>
          <w:left w:val="single" w:sz="4" w:space="4" w:color="auto"/>
        </w:pBdr>
        <w:shd w:val="clear" w:color="auto" w:fill="FFFFFF"/>
        <w:jc w:val="both"/>
        <w:rPr>
          <w:rFonts w:cs="Arial"/>
          <w:b/>
          <w:bCs/>
          <w:sz w:val="16"/>
          <w:szCs w:val="16"/>
        </w:rPr>
      </w:pPr>
      <w:r w:rsidRPr="008270B7">
        <w:rPr>
          <w:rFonts w:cs="Arial"/>
          <w:b/>
          <w:bCs/>
          <w:sz w:val="16"/>
          <w:szCs w:val="16"/>
        </w:rPr>
        <w:t>3.1.3.3. Instrucciones contables. Las entidades aseguradoras deben aplicar las instrucciones del capítulo XXXV de la CBCF en relación con la información financiera del SOAT.</w:t>
      </w:r>
    </w:p>
    <w:p w14:paraId="4AF6BC2D" w14:textId="7929F44A" w:rsidR="00622816" w:rsidRPr="008270B7" w:rsidRDefault="00622816" w:rsidP="008270B7">
      <w:pPr>
        <w:tabs>
          <w:tab w:val="left" w:pos="720"/>
        </w:tabs>
        <w:ind w:right="51"/>
        <w:jc w:val="both"/>
        <w:rPr>
          <w:rFonts w:cs="Arial"/>
          <w:sz w:val="16"/>
          <w:szCs w:val="16"/>
        </w:rPr>
      </w:pPr>
    </w:p>
    <w:p w14:paraId="769DF2A5" w14:textId="77777777" w:rsidR="00622816" w:rsidRPr="008270B7" w:rsidRDefault="00622816" w:rsidP="008270B7">
      <w:pPr>
        <w:tabs>
          <w:tab w:val="left" w:pos="720"/>
        </w:tabs>
        <w:ind w:right="51"/>
        <w:jc w:val="both"/>
        <w:rPr>
          <w:rFonts w:cs="Arial"/>
          <w:sz w:val="16"/>
          <w:szCs w:val="16"/>
        </w:rPr>
      </w:pPr>
      <w:r w:rsidRPr="008270B7">
        <w:rPr>
          <w:rFonts w:cs="Arial"/>
          <w:sz w:val="16"/>
          <w:szCs w:val="16"/>
        </w:rPr>
        <w:t>3.1.3.4. Reporte de la información a la SFC. Para tales efectos se deben atender las instrucciones contenidas en la mencionada proforma F.3000-49, junto con la fotocopia legible de la consignación de la transferencia con cargo al FONSAT realizada para el correspondiente bimestre.</w:t>
      </w:r>
    </w:p>
    <w:p w14:paraId="24729E27" w14:textId="77777777" w:rsidR="00622816" w:rsidRPr="008270B7" w:rsidRDefault="00622816" w:rsidP="008270B7">
      <w:pPr>
        <w:tabs>
          <w:tab w:val="left" w:pos="720"/>
        </w:tabs>
        <w:ind w:right="618"/>
        <w:jc w:val="both"/>
        <w:rPr>
          <w:rFonts w:cs="Arial"/>
          <w:sz w:val="16"/>
          <w:szCs w:val="16"/>
        </w:rPr>
      </w:pPr>
    </w:p>
    <w:p w14:paraId="5C29FB88" w14:textId="77777777" w:rsidR="00622816" w:rsidRPr="008270B7" w:rsidRDefault="00622816" w:rsidP="008270B7">
      <w:pPr>
        <w:tabs>
          <w:tab w:val="left" w:pos="720"/>
          <w:tab w:val="left" w:pos="8789"/>
        </w:tabs>
        <w:ind w:right="51"/>
        <w:jc w:val="both"/>
        <w:rPr>
          <w:rFonts w:cs="Arial"/>
          <w:sz w:val="16"/>
          <w:szCs w:val="16"/>
        </w:rPr>
      </w:pPr>
      <w:r w:rsidRPr="008270B7">
        <w:rPr>
          <w:rFonts w:cs="Arial"/>
          <w:sz w:val="16"/>
          <w:szCs w:val="16"/>
        </w:rPr>
        <w:t xml:space="preserve">3.1.3.5. Reporte anual sobre oportunidad y suficiencia de las transferencias. Para efectos de verificar el cumplimiento de lo dispuesto en el parágrafo 2, numeral 2 del art. 199 del EOSF, la entidad administradora del FONSAT, debe remitir a la SFC, dentro de los 2 primeros meses de cada año, un reporte en el que se informe el monto consignado por cada una de las entidades obligadas, indicando además cuáles entidades aseguradoras no efectuaron las transferencias en forma oportuna durante el año inmediatamente anterior. Con base en este reporte la SFC verifica los aportes bimestrales en cuanto a montos y oportunidad.        </w:t>
      </w:r>
    </w:p>
    <w:p w14:paraId="51A3878B" w14:textId="77777777" w:rsidR="00622816" w:rsidRPr="008270B7" w:rsidRDefault="00622816" w:rsidP="008270B7">
      <w:pPr>
        <w:tabs>
          <w:tab w:val="left" w:pos="720"/>
        </w:tabs>
        <w:ind w:right="618"/>
        <w:jc w:val="both"/>
        <w:rPr>
          <w:rFonts w:cs="Arial"/>
          <w:sz w:val="16"/>
          <w:szCs w:val="16"/>
        </w:rPr>
      </w:pPr>
    </w:p>
    <w:p w14:paraId="0993B1FF" w14:textId="77777777" w:rsidR="00026038" w:rsidRPr="008270B7" w:rsidRDefault="00026038" w:rsidP="008270B7">
      <w:pPr>
        <w:tabs>
          <w:tab w:val="left" w:pos="720"/>
        </w:tabs>
        <w:ind w:right="618"/>
        <w:jc w:val="both"/>
        <w:rPr>
          <w:rFonts w:cs="Arial"/>
          <w:sz w:val="16"/>
          <w:szCs w:val="16"/>
        </w:rPr>
      </w:pPr>
    </w:p>
    <w:p w14:paraId="02203698" w14:textId="77777777" w:rsidR="00026038" w:rsidRPr="008270B7" w:rsidRDefault="00026038" w:rsidP="008270B7">
      <w:pPr>
        <w:tabs>
          <w:tab w:val="left" w:pos="720"/>
        </w:tabs>
        <w:ind w:right="618"/>
        <w:jc w:val="both"/>
        <w:rPr>
          <w:rFonts w:cs="Arial"/>
          <w:sz w:val="16"/>
          <w:szCs w:val="16"/>
        </w:rPr>
      </w:pPr>
    </w:p>
    <w:p w14:paraId="28DB061D" w14:textId="77777777" w:rsidR="00026038" w:rsidRPr="008270B7" w:rsidRDefault="00026038" w:rsidP="008270B7">
      <w:pPr>
        <w:tabs>
          <w:tab w:val="left" w:pos="720"/>
        </w:tabs>
        <w:ind w:right="618"/>
        <w:jc w:val="both"/>
        <w:rPr>
          <w:rFonts w:cs="Arial"/>
          <w:sz w:val="16"/>
          <w:szCs w:val="16"/>
        </w:rPr>
      </w:pPr>
    </w:p>
    <w:p w14:paraId="72C743DE" w14:textId="77777777" w:rsidR="009B06EA" w:rsidRPr="008270B7" w:rsidRDefault="009B06EA" w:rsidP="008270B7">
      <w:pPr>
        <w:tabs>
          <w:tab w:val="left" w:pos="720"/>
        </w:tabs>
        <w:ind w:right="618"/>
        <w:jc w:val="both"/>
        <w:rPr>
          <w:rFonts w:cs="Arial"/>
          <w:sz w:val="16"/>
          <w:szCs w:val="16"/>
        </w:rPr>
        <w:sectPr w:rsidR="009B06EA" w:rsidRPr="008270B7" w:rsidSect="00D46A7D">
          <w:headerReference w:type="default" r:id="rId69"/>
          <w:footerReference w:type="default" r:id="rId70"/>
          <w:headerReference w:type="first" r:id="rId71"/>
          <w:footerReference w:type="first" r:id="rId72"/>
          <w:pgSz w:w="12240" w:h="18720" w:code="257"/>
          <w:pgMar w:top="1417" w:right="1701" w:bottom="1417" w:left="1701" w:header="709" w:footer="865" w:gutter="0"/>
          <w:pgNumType w:start="18"/>
          <w:cols w:space="708"/>
          <w:titlePg/>
          <w:docGrid w:linePitch="360"/>
        </w:sectPr>
      </w:pPr>
    </w:p>
    <w:p w14:paraId="01815B58" w14:textId="77777777" w:rsidR="00FB26D3" w:rsidRPr="008270B7" w:rsidRDefault="00FB26D3" w:rsidP="008270B7">
      <w:pPr>
        <w:tabs>
          <w:tab w:val="left" w:pos="720"/>
        </w:tabs>
        <w:ind w:right="618"/>
        <w:jc w:val="both"/>
        <w:rPr>
          <w:rFonts w:cs="Arial"/>
          <w:sz w:val="16"/>
          <w:szCs w:val="16"/>
        </w:rPr>
      </w:pPr>
      <w:r w:rsidRPr="008270B7">
        <w:rPr>
          <w:rFonts w:cs="Arial"/>
          <w:sz w:val="16"/>
          <w:szCs w:val="16"/>
        </w:rPr>
        <w:lastRenderedPageBreak/>
        <w:t xml:space="preserve">3.1.4. Condiciones generales de la póliza </w:t>
      </w:r>
    </w:p>
    <w:p w14:paraId="5A99E75B" w14:textId="77777777" w:rsidR="00FB26D3" w:rsidRPr="008270B7" w:rsidRDefault="00FB26D3" w:rsidP="008270B7">
      <w:pPr>
        <w:pStyle w:val="Ttulo2"/>
        <w:tabs>
          <w:tab w:val="left" w:pos="720"/>
        </w:tabs>
        <w:ind w:right="618"/>
        <w:jc w:val="both"/>
        <w:rPr>
          <w:b w:val="0"/>
          <w:bCs w:val="0"/>
          <w:szCs w:val="16"/>
        </w:rPr>
      </w:pPr>
    </w:p>
    <w:p w14:paraId="5D4D643A" w14:textId="77777777" w:rsidR="00FB26D3" w:rsidRPr="008270B7" w:rsidRDefault="00FB26D3" w:rsidP="008270B7">
      <w:pPr>
        <w:pStyle w:val="Textodecuerpo21"/>
        <w:tabs>
          <w:tab w:val="clear" w:pos="851"/>
          <w:tab w:val="left" w:pos="720"/>
        </w:tabs>
        <w:ind w:right="51"/>
        <w:rPr>
          <w:rFonts w:cs="Arial"/>
          <w:sz w:val="16"/>
          <w:szCs w:val="16"/>
        </w:rPr>
      </w:pPr>
      <w:r w:rsidRPr="008270B7">
        <w:rPr>
          <w:rFonts w:cs="Arial"/>
          <w:sz w:val="16"/>
          <w:szCs w:val="16"/>
        </w:rPr>
        <w:t xml:space="preserve">Las entidades aseguradoras, para efectos del ofrecimiento y posterior expedición de las pólizas de este seguro, deben tener en cuenta, tanto las coberturas y cuantías establecidas en el art. 193 del EOSF, como las condiciones generales y especiales previstas para este seguro en el Decreto 056 de 2015, especialmente en el art. 41, y en el Decreto 019 de 2012, particularmente en el art. 112.   </w:t>
      </w:r>
    </w:p>
    <w:p w14:paraId="7D0AE606" w14:textId="77777777" w:rsidR="00FB26D3" w:rsidRPr="008270B7" w:rsidRDefault="00FB26D3" w:rsidP="008270B7">
      <w:pPr>
        <w:numPr>
          <w:ilvl w:val="12"/>
          <w:numId w:val="0"/>
        </w:numPr>
        <w:tabs>
          <w:tab w:val="left" w:pos="720"/>
        </w:tabs>
        <w:ind w:right="618"/>
        <w:jc w:val="both"/>
        <w:rPr>
          <w:rFonts w:cs="Arial"/>
          <w:sz w:val="16"/>
          <w:szCs w:val="16"/>
          <w:lang w:val="es-ES_tradnl"/>
        </w:rPr>
      </w:pPr>
    </w:p>
    <w:p w14:paraId="26277608" w14:textId="77777777" w:rsidR="00FB26D3" w:rsidRPr="008270B7" w:rsidRDefault="00FB26D3" w:rsidP="008270B7">
      <w:pPr>
        <w:numPr>
          <w:ilvl w:val="12"/>
          <w:numId w:val="0"/>
        </w:numPr>
        <w:tabs>
          <w:tab w:val="left" w:pos="720"/>
        </w:tabs>
        <w:ind w:right="51"/>
        <w:jc w:val="both"/>
        <w:rPr>
          <w:rFonts w:cs="Arial"/>
          <w:sz w:val="16"/>
          <w:szCs w:val="16"/>
        </w:rPr>
      </w:pPr>
      <w:r w:rsidRPr="008270B7">
        <w:rPr>
          <w:rFonts w:cs="Arial"/>
          <w:sz w:val="16"/>
          <w:szCs w:val="16"/>
        </w:rPr>
        <w:t>De la misma forma son beneficiarios de las prestaciones correspondientes a las indemnizaciones amparadas, los señalados en el numeral 2 del art. 3 del mencionado Decreto 056 de 2015, quienes deben seguir el procedimiento y acreditar las condiciones establecidas la misma disposición.</w:t>
      </w:r>
    </w:p>
    <w:p w14:paraId="52E7E281" w14:textId="77777777" w:rsidR="00FB26D3" w:rsidRPr="008270B7" w:rsidRDefault="00FB26D3" w:rsidP="008270B7">
      <w:pPr>
        <w:numPr>
          <w:ilvl w:val="12"/>
          <w:numId w:val="0"/>
        </w:numPr>
        <w:tabs>
          <w:tab w:val="left" w:pos="720"/>
        </w:tabs>
        <w:ind w:right="51"/>
        <w:jc w:val="both"/>
        <w:rPr>
          <w:rFonts w:cs="Arial"/>
          <w:sz w:val="16"/>
          <w:szCs w:val="16"/>
        </w:rPr>
      </w:pPr>
    </w:p>
    <w:p w14:paraId="24E94149" w14:textId="77777777" w:rsidR="00FB26D3" w:rsidRPr="008270B7" w:rsidRDefault="00FB26D3" w:rsidP="008270B7">
      <w:pPr>
        <w:numPr>
          <w:ilvl w:val="12"/>
          <w:numId w:val="0"/>
        </w:numPr>
        <w:tabs>
          <w:tab w:val="left" w:pos="720"/>
        </w:tabs>
        <w:ind w:right="51"/>
        <w:jc w:val="both"/>
        <w:rPr>
          <w:rFonts w:cs="Arial"/>
          <w:sz w:val="16"/>
          <w:szCs w:val="16"/>
        </w:rPr>
      </w:pPr>
      <w:r w:rsidRPr="008270B7">
        <w:rPr>
          <w:rFonts w:cs="Arial"/>
          <w:sz w:val="16"/>
          <w:szCs w:val="16"/>
        </w:rPr>
        <w:t>3.1.5. Tarifa máxima anual</w:t>
      </w:r>
    </w:p>
    <w:p w14:paraId="237A5FDE" w14:textId="77777777" w:rsidR="00FB26D3" w:rsidRPr="008270B7" w:rsidRDefault="00FB26D3" w:rsidP="008270B7">
      <w:pPr>
        <w:numPr>
          <w:ilvl w:val="12"/>
          <w:numId w:val="0"/>
        </w:numPr>
        <w:tabs>
          <w:tab w:val="left" w:pos="720"/>
        </w:tabs>
        <w:jc w:val="both"/>
        <w:rPr>
          <w:rFonts w:cs="Arial"/>
          <w:sz w:val="16"/>
          <w:szCs w:val="16"/>
        </w:rPr>
      </w:pPr>
    </w:p>
    <w:p w14:paraId="28BC9307" w14:textId="77777777" w:rsidR="00FB26D3" w:rsidRPr="008270B7" w:rsidRDefault="00FB26D3" w:rsidP="008270B7">
      <w:pPr>
        <w:numPr>
          <w:ilvl w:val="12"/>
          <w:numId w:val="0"/>
        </w:numPr>
        <w:tabs>
          <w:tab w:val="left" w:pos="720"/>
        </w:tabs>
        <w:jc w:val="both"/>
        <w:rPr>
          <w:rFonts w:cs="Arial"/>
          <w:sz w:val="16"/>
          <w:szCs w:val="16"/>
        </w:rPr>
      </w:pPr>
      <w:r w:rsidRPr="008270B7">
        <w:rPr>
          <w:rFonts w:cs="Arial"/>
          <w:sz w:val="16"/>
          <w:szCs w:val="16"/>
        </w:rPr>
        <w:t xml:space="preserve">En desarrollo de la facultad establecida en el numeral 5 del art. 193 del EOSF, en el anexo 1 del presente Capítulo se señalan las tarifas máximas anuales que pueden cobrar las entidades aseguradoras por el SOAT, de acuerdo con las categorías y definiciones contenidas en el mismo. </w:t>
      </w:r>
    </w:p>
    <w:p w14:paraId="6561430A" w14:textId="77777777" w:rsidR="00FB26D3" w:rsidRPr="008270B7" w:rsidRDefault="00FB26D3" w:rsidP="008270B7">
      <w:pPr>
        <w:numPr>
          <w:ilvl w:val="12"/>
          <w:numId w:val="0"/>
        </w:numPr>
        <w:tabs>
          <w:tab w:val="left" w:pos="720"/>
        </w:tabs>
        <w:jc w:val="both"/>
        <w:rPr>
          <w:rFonts w:cs="Arial"/>
          <w:sz w:val="16"/>
          <w:szCs w:val="16"/>
        </w:rPr>
      </w:pPr>
    </w:p>
    <w:p w14:paraId="5F55CC1E" w14:textId="77777777" w:rsidR="00FB26D3" w:rsidRPr="008270B7" w:rsidRDefault="00FB26D3" w:rsidP="008270B7">
      <w:pPr>
        <w:numPr>
          <w:ilvl w:val="12"/>
          <w:numId w:val="0"/>
        </w:numPr>
        <w:tabs>
          <w:tab w:val="left" w:pos="720"/>
        </w:tabs>
        <w:jc w:val="both"/>
        <w:rPr>
          <w:rFonts w:cs="Arial"/>
          <w:sz w:val="16"/>
          <w:szCs w:val="16"/>
        </w:rPr>
      </w:pPr>
      <w:r w:rsidRPr="008270B7">
        <w:rPr>
          <w:rFonts w:cs="Arial"/>
          <w:sz w:val="16"/>
          <w:szCs w:val="16"/>
        </w:rPr>
        <w:t>En el evento en el que se deba expedir una póliza de SOAT a un vehículo que no se ajusta exactamente a la descripción de las categorías definidas en el mencionado anexo 1, las especificaciones de capacidad en número de pasajeros, tonelaje y cilindraje debe regirse por lo señalado en la licencia de tránsito (tarjeta de propiedad) expedida por los organismos de tránsito autorizados por el Ministerio de Transporte. Para vehículos no matriculados, por la factura de compra o ficha técnica del fabricante del vehículo homologada por el Ministerio de Transporte.</w:t>
      </w:r>
    </w:p>
    <w:p w14:paraId="798493E8" w14:textId="77777777" w:rsidR="00FB26D3" w:rsidRPr="008270B7" w:rsidRDefault="00FB26D3" w:rsidP="008270B7">
      <w:pPr>
        <w:numPr>
          <w:ilvl w:val="12"/>
          <w:numId w:val="0"/>
        </w:numPr>
        <w:tabs>
          <w:tab w:val="left" w:pos="720"/>
        </w:tabs>
        <w:jc w:val="both"/>
        <w:rPr>
          <w:rFonts w:cs="Arial"/>
          <w:sz w:val="16"/>
          <w:szCs w:val="16"/>
        </w:rPr>
      </w:pPr>
    </w:p>
    <w:p w14:paraId="6E2B1288" w14:textId="77777777" w:rsidR="00FB26D3" w:rsidRPr="008270B7" w:rsidRDefault="00FB26D3" w:rsidP="008270B7">
      <w:pPr>
        <w:numPr>
          <w:ilvl w:val="12"/>
          <w:numId w:val="0"/>
        </w:numPr>
        <w:tabs>
          <w:tab w:val="left" w:pos="720"/>
        </w:tabs>
        <w:jc w:val="both"/>
        <w:rPr>
          <w:rFonts w:cs="Arial"/>
          <w:sz w:val="16"/>
          <w:szCs w:val="16"/>
        </w:rPr>
      </w:pPr>
      <w:r w:rsidRPr="008270B7">
        <w:rPr>
          <w:rFonts w:cs="Arial"/>
          <w:sz w:val="16"/>
          <w:szCs w:val="16"/>
        </w:rPr>
        <w:t xml:space="preserve">De otra parte, y atendiendo a lo dispuesto en el art. 1 de la Ley 1364 de 2009 respecto de los vehículos importados que se desplacen del puerto a los concesionarios para su venta al público, en la cual se indica que el seguro obligatorio de daños corporales causados a las personas en accidentes de tránsito –SOAT– se puede expedir con vigencias inferiores a un año, esta Superintendencia señala que la tarifa máxima para dichas pólizas será el monto que resulte de dividir la tarifa anual del SOAT correspondiente en vigencia(s) mensual(es). En cualquier caso, dicha vigencia nunca podrá ser inferior a 1 mes, y siempre debe corresponder a vigencias en meses completos. </w:t>
      </w:r>
    </w:p>
    <w:p w14:paraId="0572D0F0" w14:textId="77777777" w:rsidR="00FB26D3" w:rsidRPr="008270B7" w:rsidRDefault="00FB26D3" w:rsidP="008270B7">
      <w:pPr>
        <w:numPr>
          <w:ilvl w:val="12"/>
          <w:numId w:val="0"/>
        </w:numPr>
        <w:tabs>
          <w:tab w:val="left" w:pos="720"/>
        </w:tabs>
        <w:jc w:val="both"/>
        <w:rPr>
          <w:rFonts w:cs="Arial"/>
          <w:sz w:val="16"/>
          <w:szCs w:val="16"/>
        </w:rPr>
      </w:pPr>
    </w:p>
    <w:p w14:paraId="20C63F76" w14:textId="77777777" w:rsidR="00FB26D3" w:rsidRPr="008270B7" w:rsidRDefault="00FB26D3" w:rsidP="008270B7">
      <w:pPr>
        <w:numPr>
          <w:ilvl w:val="12"/>
          <w:numId w:val="0"/>
        </w:numPr>
        <w:tabs>
          <w:tab w:val="left" w:pos="720"/>
        </w:tabs>
        <w:jc w:val="both"/>
        <w:rPr>
          <w:rFonts w:cs="Arial"/>
          <w:sz w:val="16"/>
          <w:szCs w:val="16"/>
        </w:rPr>
      </w:pPr>
      <w:r w:rsidRPr="008270B7">
        <w:rPr>
          <w:rFonts w:cs="Arial"/>
          <w:sz w:val="16"/>
          <w:szCs w:val="16"/>
        </w:rPr>
        <w:t>Adicionalmente, y según lo dispuesto en numeral 2 del art. 193 EOSF, las entidades aseguradoras deberán expedir el SOAT para los vehículos que circulen por las zonas fronterizas con una vigencia inferior a un año. En tal virtud, esta Superintendencia, en desarrollo de la facultad señalada en el numeral 5 del artículo 193 del EOSF, determina la tarifa máxima aplicable para las pólizas de los vehículos extranjeros que circulen por las zonas fronterizas, las cuales pueden expedirse con una vigencia diaria, de acuerdo con la siguiente fórmula:</w:t>
      </w:r>
    </w:p>
    <w:p w14:paraId="707D5526" w14:textId="77777777" w:rsidR="00FB26D3" w:rsidRPr="008270B7" w:rsidRDefault="00FB26D3" w:rsidP="008270B7">
      <w:pPr>
        <w:numPr>
          <w:ilvl w:val="12"/>
          <w:numId w:val="0"/>
        </w:numPr>
        <w:tabs>
          <w:tab w:val="left" w:pos="720"/>
        </w:tabs>
        <w:jc w:val="both"/>
        <w:rPr>
          <w:rFonts w:cs="Arial"/>
          <w:sz w:val="16"/>
          <w:szCs w:val="16"/>
        </w:rPr>
      </w:pPr>
    </w:p>
    <w:p w14:paraId="1338975B" w14:textId="77777777" w:rsidR="00FB26D3" w:rsidRPr="008270B7" w:rsidRDefault="00FB26D3" w:rsidP="008270B7">
      <w:pPr>
        <w:pStyle w:val="Prrafodelista"/>
        <w:tabs>
          <w:tab w:val="left" w:pos="284"/>
        </w:tabs>
        <w:ind w:left="0"/>
        <w:jc w:val="both"/>
        <w:rPr>
          <w:rFonts w:cs="Arial"/>
          <w:sz w:val="16"/>
          <w:szCs w:val="16"/>
        </w:rPr>
      </w:pPr>
    </w:p>
    <w:p w14:paraId="7D133DF8" w14:textId="619A1ABB" w:rsidR="00FB26D3" w:rsidRPr="008270B7" w:rsidRDefault="00000000" w:rsidP="008270B7">
      <w:pPr>
        <w:pStyle w:val="Prrafodelista"/>
        <w:tabs>
          <w:tab w:val="left" w:pos="284"/>
        </w:tabs>
        <w:ind w:left="0"/>
        <w:jc w:val="center"/>
        <w:rPr>
          <w:rFonts w:cs="Arial"/>
          <w:sz w:val="16"/>
          <w:szCs w:val="16"/>
          <w:lang w:val="es-CO"/>
        </w:rPr>
      </w:pPr>
      <m:oMathPara>
        <m:oMath>
          <m:sSub>
            <m:sSubPr>
              <m:ctrlPr>
                <w:rPr>
                  <w:rFonts w:ascii="Cambria Math" w:hAnsi="Cambria Math" w:cs="Arial"/>
                  <w:sz w:val="16"/>
                  <w:szCs w:val="16"/>
                </w:rPr>
              </m:ctrlPr>
            </m:sSubPr>
            <m:e>
              <m:r>
                <w:rPr>
                  <w:rFonts w:ascii="Cambria Math" w:hAnsi="Cambria Math" w:cs="Arial"/>
                  <w:sz w:val="16"/>
                  <w:szCs w:val="16"/>
                </w:rPr>
                <m:t>Tmax</m:t>
              </m:r>
            </m:e>
            <m:sub>
              <m:r>
                <w:rPr>
                  <w:rFonts w:ascii="Cambria Math" w:hAnsi="Cambria Math" w:cs="Arial"/>
                  <w:sz w:val="16"/>
                  <w:szCs w:val="16"/>
                </w:rPr>
                <m:t>i,  Ndias</m:t>
              </m:r>
            </m:sub>
          </m:sSub>
          <m:r>
            <m:rPr>
              <m:sty m:val="p"/>
            </m:rPr>
            <w:rPr>
              <w:rFonts w:ascii="Cambria Math" w:hAnsi="Cambria Math" w:cs="Arial"/>
              <w:sz w:val="16"/>
              <w:szCs w:val="16"/>
              <w:lang w:val="es-CO"/>
            </w:rPr>
            <m:t>=</m:t>
          </m:r>
          <m:f>
            <m:fPr>
              <m:ctrlPr>
                <w:rPr>
                  <w:rFonts w:ascii="Cambria Math" w:hAnsi="Cambria Math" w:cs="Arial"/>
                  <w:sz w:val="16"/>
                  <w:szCs w:val="16"/>
                </w:rPr>
              </m:ctrlPr>
            </m:fPr>
            <m:num>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  Ndias</m:t>
                  </m:r>
                </m:sub>
                <m:sup>
                  <m:r>
                    <w:rPr>
                      <w:rFonts w:ascii="Cambria Math" w:hAnsi="Cambria Math" w:cs="Arial"/>
                      <w:sz w:val="16"/>
                      <w:szCs w:val="16"/>
                    </w:rPr>
                    <m:t xml:space="preserve"> </m:t>
                  </m:r>
                </m:sup>
              </m:sSubSup>
              <m:r>
                <m:rPr>
                  <m:sty m:val="p"/>
                </m:rPr>
                <w:rPr>
                  <w:rFonts w:ascii="Cambria Math" w:hAnsi="Cambria Math" w:cs="Arial"/>
                  <w:sz w:val="16"/>
                  <w:szCs w:val="16"/>
                </w:rPr>
                <m:t xml:space="preserve"> </m:t>
              </m:r>
              <m:r>
                <m:rPr>
                  <m:sty m:val="p"/>
                </m:rPr>
                <w:rPr>
                  <w:rFonts w:ascii="Cambria Math" w:hAnsi="Cambria Math" w:cs="Arial"/>
                  <w:sz w:val="16"/>
                  <w:szCs w:val="16"/>
                  <w:lang w:val="es-CO"/>
                </w:rPr>
                <m:t>+</m:t>
              </m:r>
              <m:sSub>
                <m:sSubPr>
                  <m:ctrlPr>
                    <w:rPr>
                      <w:rFonts w:ascii="Cambria Math" w:hAnsi="Cambria Math" w:cs="Arial"/>
                      <w:i/>
                      <w:sz w:val="16"/>
                      <w:szCs w:val="16"/>
                      <w:lang w:val="es-CO"/>
                    </w:rPr>
                  </m:ctrlPr>
                </m:sSubPr>
                <m:e>
                  <m:r>
                    <w:rPr>
                      <w:rFonts w:ascii="Cambria Math" w:hAnsi="Cambria Math" w:cs="Arial"/>
                      <w:sz w:val="16"/>
                      <w:szCs w:val="16"/>
                      <w:lang w:val="es-CO"/>
                    </w:rPr>
                    <m:t>G</m:t>
                  </m:r>
                </m:e>
                <m:sub>
                  <m:r>
                    <w:rPr>
                      <w:rFonts w:ascii="Cambria Math" w:hAnsi="Cambria Math" w:cs="Arial"/>
                      <w:sz w:val="16"/>
                      <w:szCs w:val="16"/>
                      <w:lang w:val="es-CO"/>
                    </w:rPr>
                    <m:t>i,m</m:t>
                  </m:r>
                </m:sub>
              </m:sSub>
            </m:num>
            <m:den>
              <m:r>
                <m:rPr>
                  <m:sty m:val="p"/>
                </m:rPr>
                <w:rPr>
                  <w:rFonts w:ascii="Cambria Math" w:hAnsi="Cambria Math" w:cs="Arial"/>
                  <w:sz w:val="16"/>
                  <w:szCs w:val="16"/>
                </w:rPr>
                <m:t>(1-</m:t>
              </m:r>
              <m:r>
                <w:rPr>
                  <w:rFonts w:ascii="Cambria Math" w:hAnsi="Cambria Math" w:cs="Arial"/>
                  <w:sz w:val="16"/>
                  <w:szCs w:val="16"/>
                </w:rPr>
                <m:t>T</m:t>
              </m:r>
              <m:r>
                <m:rPr>
                  <m:sty m:val="p"/>
                </m:rPr>
                <w:rPr>
                  <w:rFonts w:ascii="Cambria Math" w:hAnsi="Cambria Math" w:cs="Arial"/>
                  <w:sz w:val="16"/>
                  <w:szCs w:val="16"/>
                </w:rPr>
                <m:t>)</m:t>
              </m:r>
            </m:den>
          </m:f>
        </m:oMath>
      </m:oMathPara>
    </w:p>
    <w:p w14:paraId="663D50F9" w14:textId="77777777" w:rsidR="00FB26D3" w:rsidRPr="008270B7" w:rsidRDefault="00FB26D3" w:rsidP="008270B7">
      <w:pPr>
        <w:pStyle w:val="Prrafodelista"/>
        <w:tabs>
          <w:tab w:val="left" w:pos="284"/>
        </w:tabs>
        <w:ind w:left="0"/>
        <w:jc w:val="both"/>
        <w:rPr>
          <w:rFonts w:cs="Arial"/>
          <w:sz w:val="16"/>
          <w:szCs w:val="16"/>
          <w:lang w:val="es-CO"/>
        </w:rPr>
      </w:pPr>
    </w:p>
    <w:p w14:paraId="5958404A" w14:textId="77777777" w:rsidR="00FB26D3" w:rsidRPr="008270B7" w:rsidRDefault="00FB26D3" w:rsidP="008270B7">
      <w:pPr>
        <w:pStyle w:val="Prrafodelista"/>
        <w:tabs>
          <w:tab w:val="left" w:pos="284"/>
        </w:tabs>
        <w:ind w:left="0"/>
        <w:jc w:val="both"/>
        <w:rPr>
          <w:rFonts w:cs="Arial"/>
          <w:sz w:val="16"/>
          <w:szCs w:val="16"/>
        </w:rPr>
      </w:pPr>
      <w:r w:rsidRPr="008270B7">
        <w:rPr>
          <w:rFonts w:cs="Arial"/>
          <w:sz w:val="16"/>
          <w:szCs w:val="16"/>
        </w:rPr>
        <w:t>Donde,</w:t>
      </w:r>
    </w:p>
    <w:p w14:paraId="29A73CF0" w14:textId="77777777" w:rsidR="00FB26D3" w:rsidRPr="008270B7" w:rsidRDefault="00FB26D3" w:rsidP="008270B7">
      <w:pPr>
        <w:pStyle w:val="Prrafodelista"/>
        <w:tabs>
          <w:tab w:val="left" w:pos="284"/>
        </w:tabs>
        <w:ind w:left="0"/>
        <w:jc w:val="both"/>
        <w:rPr>
          <w:rFonts w:cs="Arial"/>
          <w:sz w:val="16"/>
          <w:szCs w:val="16"/>
        </w:rPr>
      </w:pPr>
    </w:p>
    <w:p w14:paraId="0FD985CD" w14:textId="3C8896A7" w:rsidR="00FB26D3" w:rsidRPr="008270B7" w:rsidRDefault="00000000" w:rsidP="008270B7">
      <w:pPr>
        <w:pStyle w:val="Prrafodelista"/>
        <w:tabs>
          <w:tab w:val="left" w:pos="284"/>
        </w:tabs>
        <w:ind w:left="0"/>
        <w:jc w:val="both"/>
        <w:rPr>
          <w:rFonts w:cs="Arial"/>
          <w:sz w:val="16"/>
          <w:szCs w:val="16"/>
        </w:rPr>
      </w:pPr>
      <m:oMath>
        <m:sSub>
          <m:sSubPr>
            <m:ctrlPr>
              <w:rPr>
                <w:rFonts w:ascii="Cambria Math" w:hAnsi="Cambria Math" w:cs="Arial"/>
                <w:sz w:val="16"/>
                <w:szCs w:val="16"/>
              </w:rPr>
            </m:ctrlPr>
          </m:sSubPr>
          <m:e>
            <m:r>
              <w:rPr>
                <w:rFonts w:ascii="Cambria Math" w:hAnsi="Cambria Math" w:cs="Arial"/>
                <w:sz w:val="16"/>
                <w:szCs w:val="16"/>
              </w:rPr>
              <m:t>Tmax</m:t>
            </m:r>
          </m:e>
          <m:sub>
            <m:r>
              <w:rPr>
                <w:rFonts w:ascii="Cambria Math" w:hAnsi="Cambria Math" w:cs="Arial"/>
                <w:sz w:val="16"/>
                <w:szCs w:val="16"/>
              </w:rPr>
              <m:t>i,  Ndias</m:t>
            </m:r>
          </m:sub>
        </m:sSub>
      </m:oMath>
      <w:r w:rsidR="00FB26D3" w:rsidRPr="008270B7">
        <w:rPr>
          <w:rFonts w:cs="Arial"/>
          <w:sz w:val="16"/>
          <w:szCs w:val="16"/>
        </w:rPr>
        <w:t xml:space="preserve">: corresponde a la tarifa máxima aplicable a la categoría </w:t>
      </w:r>
      <m:oMath>
        <m:r>
          <w:rPr>
            <w:rFonts w:ascii="Cambria Math" w:hAnsi="Cambria Math" w:cs="Arial"/>
            <w:sz w:val="16"/>
            <w:szCs w:val="16"/>
          </w:rPr>
          <m:t>i</m:t>
        </m:r>
      </m:oMath>
      <w:r w:rsidR="00FB26D3" w:rsidRPr="008270B7">
        <w:rPr>
          <w:rFonts w:cs="Arial"/>
          <w:sz w:val="16"/>
          <w:szCs w:val="16"/>
        </w:rPr>
        <w:t xml:space="preserve"> para una vigencia de </w:t>
      </w:r>
      <m:oMath>
        <m:r>
          <w:rPr>
            <w:rFonts w:ascii="Cambria Math" w:hAnsi="Cambria Math" w:cs="Arial"/>
            <w:sz w:val="16"/>
            <w:szCs w:val="16"/>
          </w:rPr>
          <m:t>Ndias</m:t>
        </m:r>
      </m:oMath>
      <w:r w:rsidR="00FB26D3" w:rsidRPr="008270B7">
        <w:rPr>
          <w:rFonts w:cs="Arial"/>
          <w:sz w:val="16"/>
          <w:szCs w:val="16"/>
        </w:rPr>
        <w:t xml:space="preserve"> para los vehículos extranjeros </w:t>
      </w:r>
      <w:r w:rsidR="00FB26D3" w:rsidRPr="008270B7">
        <w:rPr>
          <w:rFonts w:cs="Arial"/>
          <w:sz w:val="16"/>
          <w:szCs w:val="16"/>
          <w:lang w:val="es-CO"/>
        </w:rPr>
        <w:t xml:space="preserve">que </w:t>
      </w:r>
      <w:proofErr w:type="spellStart"/>
      <w:r w:rsidR="00FB26D3" w:rsidRPr="008270B7">
        <w:rPr>
          <w:rFonts w:cs="Arial"/>
          <w:sz w:val="16"/>
          <w:szCs w:val="16"/>
          <w:lang w:val="es-CO"/>
        </w:rPr>
        <w:t>circul</w:t>
      </w:r>
      <w:proofErr w:type="spellEnd"/>
      <w:r w:rsidR="00FB26D3" w:rsidRPr="008270B7">
        <w:rPr>
          <w:rFonts w:cs="Arial"/>
          <w:sz w:val="16"/>
          <w:szCs w:val="16"/>
        </w:rPr>
        <w:t>a</w:t>
      </w:r>
      <w:r w:rsidR="00FB26D3" w:rsidRPr="008270B7">
        <w:rPr>
          <w:rFonts w:cs="Arial"/>
          <w:sz w:val="16"/>
          <w:szCs w:val="16"/>
          <w:lang w:val="es-CO"/>
        </w:rPr>
        <w:t>n</w:t>
      </w:r>
      <w:r w:rsidR="00FB26D3" w:rsidRPr="008270B7">
        <w:rPr>
          <w:rFonts w:cs="Arial"/>
          <w:sz w:val="16"/>
          <w:szCs w:val="16"/>
        </w:rPr>
        <w:t xml:space="preserve"> en zonas fronterizas.</w:t>
      </w:r>
    </w:p>
    <w:p w14:paraId="26EECF4F" w14:textId="77777777" w:rsidR="00FB26D3" w:rsidRPr="008270B7" w:rsidRDefault="00FB26D3" w:rsidP="008270B7">
      <w:pPr>
        <w:pStyle w:val="Prrafodelista"/>
        <w:tabs>
          <w:tab w:val="left" w:pos="284"/>
        </w:tabs>
        <w:ind w:left="0"/>
        <w:jc w:val="both"/>
        <w:rPr>
          <w:rFonts w:cs="Arial"/>
          <w:sz w:val="16"/>
          <w:szCs w:val="16"/>
        </w:rPr>
      </w:pPr>
    </w:p>
    <w:p w14:paraId="3293C844" w14:textId="01E10BB0" w:rsidR="00FB26D3" w:rsidRPr="008270B7" w:rsidRDefault="00000000" w:rsidP="008270B7">
      <w:pPr>
        <w:pStyle w:val="Prrafodelista"/>
        <w:tabs>
          <w:tab w:val="left" w:pos="284"/>
        </w:tabs>
        <w:ind w:left="0"/>
        <w:jc w:val="both"/>
        <w:rPr>
          <w:rFonts w:cs="Arial"/>
          <w:sz w:val="16"/>
          <w:szCs w:val="16"/>
        </w:rPr>
      </w:pPr>
      <m:oMath>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  Ndias</m:t>
            </m:r>
          </m:sub>
          <m:sup>
            <m:r>
              <w:rPr>
                <w:rFonts w:ascii="Cambria Math" w:hAnsi="Cambria Math" w:cs="Arial"/>
                <w:sz w:val="16"/>
                <w:szCs w:val="16"/>
              </w:rPr>
              <m:t xml:space="preserve"> </m:t>
            </m:r>
          </m:sup>
        </m:sSubSup>
      </m:oMath>
      <w:r w:rsidR="00FB26D3" w:rsidRPr="008270B7">
        <w:rPr>
          <w:rFonts w:cs="Arial"/>
          <w:sz w:val="16"/>
          <w:szCs w:val="16"/>
        </w:rPr>
        <w:t xml:space="preserve">: corresponde al componente de riesgo para </w:t>
      </w:r>
      <m:oMath>
        <m:r>
          <w:rPr>
            <w:rFonts w:ascii="Cambria Math" w:hAnsi="Cambria Math" w:cs="Arial"/>
            <w:sz w:val="16"/>
            <w:szCs w:val="16"/>
          </w:rPr>
          <m:t>Ndias</m:t>
        </m:r>
      </m:oMath>
      <w:r w:rsidR="00FB26D3" w:rsidRPr="008270B7">
        <w:rPr>
          <w:rFonts w:cs="Arial"/>
          <w:sz w:val="16"/>
          <w:szCs w:val="16"/>
        </w:rPr>
        <w:t xml:space="preserve"> de vigencia para la categoría </w:t>
      </w:r>
      <m:oMath>
        <m:r>
          <w:rPr>
            <w:rFonts w:ascii="Cambria Math" w:hAnsi="Cambria Math" w:cs="Arial"/>
            <w:sz w:val="16"/>
            <w:szCs w:val="16"/>
          </w:rPr>
          <m:t>i</m:t>
        </m:r>
      </m:oMath>
      <w:r w:rsidR="00FB26D3" w:rsidRPr="008270B7">
        <w:rPr>
          <w:rFonts w:cs="Arial"/>
          <w:sz w:val="16"/>
          <w:szCs w:val="16"/>
        </w:rPr>
        <w:t xml:space="preserve"> determinado como:</w:t>
      </w:r>
    </w:p>
    <w:p w14:paraId="6A76A5E1" w14:textId="77777777" w:rsidR="00FB26D3" w:rsidRPr="008270B7" w:rsidRDefault="00FB26D3" w:rsidP="008270B7">
      <w:pPr>
        <w:pStyle w:val="Prrafodelista"/>
        <w:tabs>
          <w:tab w:val="left" w:pos="284"/>
        </w:tabs>
        <w:ind w:left="0"/>
        <w:jc w:val="both"/>
        <w:rPr>
          <w:rFonts w:cs="Arial"/>
          <w:sz w:val="16"/>
          <w:szCs w:val="16"/>
        </w:rPr>
      </w:pPr>
    </w:p>
    <w:p w14:paraId="64C68606" w14:textId="4E920F8D" w:rsidR="00FB26D3" w:rsidRPr="008270B7" w:rsidRDefault="00000000" w:rsidP="008270B7">
      <w:pPr>
        <w:pStyle w:val="Prrafodelista"/>
        <w:tabs>
          <w:tab w:val="left" w:pos="284"/>
        </w:tabs>
        <w:ind w:left="0"/>
        <w:jc w:val="both"/>
        <w:rPr>
          <w:rFonts w:cs="Arial"/>
          <w:sz w:val="16"/>
          <w:szCs w:val="16"/>
        </w:rPr>
      </w:pPr>
      <m:oMathPara>
        <m:oMath>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  Ndias</m:t>
              </m:r>
            </m:sub>
            <m:sup>
              <m:r>
                <w:rPr>
                  <w:rFonts w:ascii="Cambria Math" w:hAnsi="Cambria Math" w:cs="Arial"/>
                  <w:sz w:val="16"/>
                  <w:szCs w:val="16"/>
                </w:rPr>
                <m:t xml:space="preserve"> </m:t>
              </m:r>
            </m:sup>
          </m:sSubSup>
          <m:r>
            <m:rPr>
              <m:sty m:val="p"/>
            </m:rPr>
            <w:rPr>
              <w:rFonts w:ascii="Cambria Math" w:hAnsi="Cambria Math" w:cs="Arial"/>
              <w:sz w:val="16"/>
              <w:szCs w:val="16"/>
            </w:rPr>
            <m:t>=</m:t>
          </m:r>
          <m:f>
            <m:fPr>
              <m:ctrlPr>
                <w:rPr>
                  <w:rFonts w:ascii="Cambria Math" w:hAnsi="Cambria Math" w:cs="Arial"/>
                  <w:sz w:val="16"/>
                  <w:szCs w:val="16"/>
                </w:rPr>
              </m:ctrlPr>
            </m:fPr>
            <m:num>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m:t>
                  </m:r>
                </m:sub>
                <m:sup>
                  <m:r>
                    <w:rPr>
                      <w:rFonts w:ascii="Cambria Math" w:hAnsi="Cambria Math" w:cs="Arial"/>
                      <w:sz w:val="16"/>
                      <w:szCs w:val="16"/>
                    </w:rPr>
                    <m:t>Anual</m:t>
                  </m:r>
                </m:sup>
              </m:sSubSup>
            </m:num>
            <m:den>
              <m:r>
                <m:rPr>
                  <m:sty m:val="p"/>
                </m:rPr>
                <w:rPr>
                  <w:rFonts w:ascii="Cambria Math" w:hAnsi="Cambria Math" w:cs="Arial"/>
                  <w:color w:val="000000" w:themeColor="text1"/>
                  <w:sz w:val="16"/>
                  <w:szCs w:val="16"/>
                </w:rPr>
                <m:t>360</m:t>
              </m:r>
            </m:den>
          </m:f>
          <m:r>
            <m:rPr>
              <m:sty m:val="p"/>
            </m:rPr>
            <w:rPr>
              <w:rFonts w:ascii="Cambria Math" w:hAnsi="Cambria Math" w:cs="Arial"/>
              <w:sz w:val="16"/>
              <w:szCs w:val="16"/>
            </w:rPr>
            <m:t>*</m:t>
          </m:r>
          <m:r>
            <w:rPr>
              <w:rFonts w:ascii="Cambria Math" w:hAnsi="Cambria Math" w:cs="Arial"/>
              <w:sz w:val="16"/>
              <w:szCs w:val="16"/>
            </w:rPr>
            <m:t>Ndias</m:t>
          </m:r>
        </m:oMath>
      </m:oMathPara>
    </w:p>
    <w:p w14:paraId="2F10737D" w14:textId="77777777" w:rsidR="00FB26D3" w:rsidRPr="008270B7" w:rsidRDefault="00FB26D3" w:rsidP="008270B7">
      <w:pPr>
        <w:pStyle w:val="Prrafodelista"/>
        <w:tabs>
          <w:tab w:val="left" w:pos="284"/>
        </w:tabs>
        <w:ind w:left="0"/>
        <w:jc w:val="both"/>
        <w:rPr>
          <w:rFonts w:cs="Arial"/>
          <w:sz w:val="16"/>
          <w:szCs w:val="16"/>
        </w:rPr>
      </w:pPr>
    </w:p>
    <w:p w14:paraId="252B5E0D" w14:textId="77777777" w:rsidR="00FB26D3" w:rsidRPr="008270B7" w:rsidRDefault="00FB26D3" w:rsidP="008270B7">
      <w:pPr>
        <w:pStyle w:val="Prrafodelista"/>
        <w:tabs>
          <w:tab w:val="left" w:pos="284"/>
        </w:tabs>
        <w:ind w:left="0"/>
        <w:jc w:val="both"/>
        <w:rPr>
          <w:rFonts w:cs="Arial"/>
          <w:sz w:val="16"/>
          <w:szCs w:val="16"/>
        </w:rPr>
      </w:pPr>
      <w:r w:rsidRPr="008270B7">
        <w:rPr>
          <w:rFonts w:cs="Arial"/>
          <w:sz w:val="16"/>
          <w:szCs w:val="16"/>
        </w:rPr>
        <w:t>Donde,</w:t>
      </w:r>
    </w:p>
    <w:p w14:paraId="0BC3D1D2" w14:textId="77777777" w:rsidR="00FB26D3" w:rsidRPr="008270B7" w:rsidRDefault="00FB26D3" w:rsidP="008270B7">
      <w:pPr>
        <w:pStyle w:val="Prrafodelista"/>
        <w:tabs>
          <w:tab w:val="left" w:pos="284"/>
        </w:tabs>
        <w:ind w:left="0"/>
        <w:jc w:val="both"/>
        <w:rPr>
          <w:rFonts w:cs="Arial"/>
          <w:sz w:val="16"/>
          <w:szCs w:val="16"/>
        </w:rPr>
      </w:pPr>
    </w:p>
    <w:p w14:paraId="7255287F" w14:textId="4C7AF5FE" w:rsidR="00FB26D3" w:rsidRPr="008270B7" w:rsidRDefault="00000000" w:rsidP="008270B7">
      <w:pPr>
        <w:pStyle w:val="Prrafodelista"/>
        <w:tabs>
          <w:tab w:val="left" w:pos="284"/>
        </w:tabs>
        <w:ind w:left="0"/>
        <w:jc w:val="both"/>
        <w:rPr>
          <w:rFonts w:cs="Arial"/>
          <w:sz w:val="16"/>
          <w:szCs w:val="16"/>
        </w:rPr>
      </w:pPr>
      <m:oMath>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m:t>
            </m:r>
          </m:sub>
          <m:sup>
            <m:r>
              <w:rPr>
                <w:rFonts w:ascii="Cambria Math" w:hAnsi="Cambria Math" w:cs="Arial"/>
                <w:sz w:val="16"/>
                <w:szCs w:val="16"/>
              </w:rPr>
              <m:t>Anual</m:t>
            </m:r>
          </m:sup>
        </m:sSubSup>
      </m:oMath>
      <w:r w:rsidR="00FB26D3" w:rsidRPr="008270B7">
        <w:rPr>
          <w:rFonts w:cs="Arial"/>
          <w:sz w:val="16"/>
          <w:szCs w:val="16"/>
        </w:rPr>
        <w:t xml:space="preserve">: corresponde a la prima de riesgo anual para la categoría </w:t>
      </w:r>
      <m:oMath>
        <m:r>
          <w:rPr>
            <w:rFonts w:ascii="Cambria Math" w:hAnsi="Cambria Math" w:cs="Arial"/>
            <w:sz w:val="16"/>
            <w:szCs w:val="16"/>
          </w:rPr>
          <m:t>i</m:t>
        </m:r>
      </m:oMath>
      <w:r w:rsidR="00FB26D3" w:rsidRPr="008270B7">
        <w:rPr>
          <w:rFonts w:cs="Arial"/>
          <w:sz w:val="16"/>
          <w:szCs w:val="16"/>
        </w:rPr>
        <w:t>, determinada como:</w:t>
      </w:r>
    </w:p>
    <w:p w14:paraId="47FF8DB7" w14:textId="77777777" w:rsidR="00FB26D3" w:rsidRPr="008270B7" w:rsidRDefault="00FB26D3" w:rsidP="008270B7">
      <w:pPr>
        <w:pStyle w:val="Prrafodelista"/>
        <w:tabs>
          <w:tab w:val="left" w:pos="284"/>
        </w:tabs>
        <w:ind w:left="0"/>
        <w:jc w:val="both"/>
        <w:rPr>
          <w:rFonts w:cs="Arial"/>
          <w:sz w:val="16"/>
          <w:szCs w:val="16"/>
        </w:rPr>
      </w:pPr>
    </w:p>
    <w:p w14:paraId="31EC8FCE" w14:textId="771E0787" w:rsidR="00FB26D3" w:rsidRPr="008270B7" w:rsidRDefault="00000000" w:rsidP="008270B7">
      <w:pPr>
        <w:pStyle w:val="Prrafodelista"/>
        <w:tabs>
          <w:tab w:val="left" w:pos="284"/>
        </w:tabs>
        <w:ind w:left="0"/>
        <w:jc w:val="both"/>
        <w:rPr>
          <w:rFonts w:cs="Arial"/>
          <w:sz w:val="16"/>
          <w:szCs w:val="16"/>
        </w:rPr>
      </w:pPr>
      <m:oMathPara>
        <m:oMath>
          <m:sSubSup>
            <m:sSubSupPr>
              <m:ctrlPr>
                <w:rPr>
                  <w:rFonts w:ascii="Cambria Math" w:hAnsi="Cambria Math" w:cs="Arial"/>
                  <w:sz w:val="16"/>
                  <w:szCs w:val="16"/>
                </w:rPr>
              </m:ctrlPr>
            </m:sSubSupPr>
            <m:e>
              <m:r>
                <w:rPr>
                  <w:rFonts w:ascii="Cambria Math" w:hAnsi="Cambria Math" w:cs="Arial"/>
                  <w:sz w:val="16"/>
                  <w:szCs w:val="16"/>
                </w:rPr>
                <m:t>Priesgo</m:t>
              </m:r>
            </m:e>
            <m:sub>
              <m:r>
                <w:rPr>
                  <w:rFonts w:ascii="Cambria Math" w:hAnsi="Cambria Math" w:cs="Arial"/>
                  <w:sz w:val="16"/>
                  <w:szCs w:val="16"/>
                </w:rPr>
                <m:t>i</m:t>
              </m:r>
            </m:sub>
            <m:sup>
              <m:r>
                <w:rPr>
                  <w:rFonts w:ascii="Cambria Math" w:hAnsi="Cambria Math" w:cs="Arial"/>
                  <w:sz w:val="16"/>
                  <w:szCs w:val="16"/>
                </w:rPr>
                <m:t>Anual</m:t>
              </m:r>
            </m:sup>
          </m:sSubSup>
          <m:r>
            <m:rPr>
              <m:sty m:val="p"/>
            </m:rPr>
            <w:rPr>
              <w:rFonts w:ascii="Cambria Math" w:hAnsi="Cambria Math" w:cs="Arial"/>
              <w:sz w:val="16"/>
              <w:szCs w:val="16"/>
            </w:rPr>
            <m:t>=</m:t>
          </m:r>
          <m:sSub>
            <m:sSubPr>
              <m:ctrlPr>
                <w:rPr>
                  <w:rFonts w:ascii="Cambria Math" w:hAnsi="Cambria Math" w:cs="Arial"/>
                  <w:sz w:val="16"/>
                  <w:szCs w:val="16"/>
                </w:rPr>
              </m:ctrlPr>
            </m:sSubPr>
            <m:e>
              <m:r>
                <w:rPr>
                  <w:rFonts w:ascii="Cambria Math" w:hAnsi="Cambria Math" w:cs="Arial"/>
                  <w:sz w:val="16"/>
                  <w:szCs w:val="16"/>
                </w:rPr>
                <m:t>TAnual</m:t>
              </m:r>
            </m:e>
            <m:sub>
              <m:r>
                <w:rPr>
                  <w:rFonts w:ascii="Cambria Math" w:hAnsi="Cambria Math" w:cs="Arial"/>
                  <w:sz w:val="16"/>
                  <w:szCs w:val="16"/>
                </w:rPr>
                <m:t>i</m:t>
              </m:r>
            </m:sub>
          </m:sSub>
          <m:r>
            <m:rPr>
              <m:sty m:val="p"/>
            </m:rPr>
            <w:rPr>
              <w:rFonts w:ascii="Cambria Math" w:hAnsi="Cambria Math" w:cs="Arial"/>
              <w:sz w:val="16"/>
              <w:szCs w:val="16"/>
            </w:rPr>
            <m:t>*</m:t>
          </m:r>
          <m:d>
            <m:dPr>
              <m:ctrlPr>
                <w:rPr>
                  <w:rFonts w:ascii="Cambria Math" w:hAnsi="Cambria Math" w:cs="Arial"/>
                  <w:sz w:val="16"/>
                  <w:szCs w:val="16"/>
                </w:rPr>
              </m:ctrlPr>
            </m:dPr>
            <m:e>
              <m:r>
                <m:rPr>
                  <m:sty m:val="p"/>
                </m:rPr>
                <w:rPr>
                  <w:rFonts w:ascii="Cambria Math" w:hAnsi="Cambria Math" w:cs="Arial"/>
                  <w:sz w:val="16"/>
                  <w:szCs w:val="16"/>
                </w:rPr>
                <m:t>1-</m:t>
              </m:r>
              <m:r>
                <w:rPr>
                  <w:rFonts w:ascii="Cambria Math" w:hAnsi="Cambria Math" w:cs="Arial"/>
                  <w:sz w:val="16"/>
                  <w:szCs w:val="16"/>
                </w:rPr>
                <m:t>T</m:t>
              </m:r>
            </m:e>
          </m:d>
          <m:r>
            <m:rPr>
              <m:sty m:val="p"/>
            </m:rPr>
            <w:rPr>
              <w:rFonts w:ascii="Cambria Math" w:hAnsi="Cambria Math" w:cs="Arial"/>
              <w:sz w:val="16"/>
              <w:szCs w:val="16"/>
            </w:rPr>
            <m:t>*(1-</m:t>
          </m:r>
          <m:r>
            <w:rPr>
              <w:rFonts w:ascii="Cambria Math" w:hAnsi="Cambria Math" w:cs="Arial"/>
              <w:sz w:val="16"/>
              <w:szCs w:val="16"/>
            </w:rPr>
            <m:t>G</m:t>
          </m:r>
          <m:r>
            <m:rPr>
              <m:sty m:val="p"/>
            </m:rPr>
            <w:rPr>
              <w:rFonts w:ascii="Cambria Math" w:hAnsi="Cambria Math" w:cs="Arial"/>
              <w:sz w:val="16"/>
              <w:szCs w:val="16"/>
            </w:rPr>
            <m:t>)</m:t>
          </m:r>
        </m:oMath>
      </m:oMathPara>
    </w:p>
    <w:p w14:paraId="5B55A202" w14:textId="77777777" w:rsidR="00FB26D3" w:rsidRPr="008270B7" w:rsidRDefault="00FB26D3" w:rsidP="008270B7">
      <w:pPr>
        <w:pStyle w:val="Prrafodelista"/>
        <w:tabs>
          <w:tab w:val="left" w:pos="284"/>
        </w:tabs>
        <w:ind w:left="0"/>
        <w:jc w:val="both"/>
        <w:rPr>
          <w:rFonts w:cs="Arial"/>
          <w:sz w:val="16"/>
          <w:szCs w:val="16"/>
        </w:rPr>
      </w:pPr>
      <w:r w:rsidRPr="008270B7">
        <w:rPr>
          <w:rFonts w:cs="Arial"/>
          <w:sz w:val="16"/>
          <w:szCs w:val="16"/>
        </w:rPr>
        <w:t>Donde,</w:t>
      </w:r>
    </w:p>
    <w:p w14:paraId="7F350E33" w14:textId="77777777" w:rsidR="00FB26D3" w:rsidRPr="008270B7" w:rsidRDefault="00FB26D3" w:rsidP="008270B7">
      <w:pPr>
        <w:pStyle w:val="Prrafodelista"/>
        <w:tabs>
          <w:tab w:val="left" w:pos="284"/>
        </w:tabs>
        <w:ind w:left="0"/>
        <w:jc w:val="both"/>
        <w:rPr>
          <w:rFonts w:cs="Arial"/>
          <w:sz w:val="16"/>
          <w:szCs w:val="16"/>
        </w:rPr>
      </w:pPr>
    </w:p>
    <w:p w14:paraId="316EB4D0" w14:textId="56F7B61C" w:rsidR="00FB26D3" w:rsidRPr="008270B7" w:rsidRDefault="00000000" w:rsidP="008270B7">
      <w:pPr>
        <w:pStyle w:val="Prrafodelista"/>
        <w:tabs>
          <w:tab w:val="left" w:pos="284"/>
        </w:tabs>
        <w:ind w:left="0"/>
        <w:jc w:val="both"/>
        <w:rPr>
          <w:rFonts w:cs="Arial"/>
          <w:sz w:val="16"/>
          <w:szCs w:val="16"/>
        </w:rPr>
      </w:pPr>
      <m:oMath>
        <m:sSub>
          <m:sSubPr>
            <m:ctrlPr>
              <w:rPr>
                <w:rFonts w:ascii="Cambria Math" w:hAnsi="Cambria Math" w:cs="Arial"/>
                <w:sz w:val="16"/>
                <w:szCs w:val="16"/>
              </w:rPr>
            </m:ctrlPr>
          </m:sSubPr>
          <m:e>
            <m:r>
              <w:rPr>
                <w:rFonts w:ascii="Cambria Math" w:hAnsi="Cambria Math" w:cs="Arial"/>
                <w:sz w:val="16"/>
                <w:szCs w:val="16"/>
              </w:rPr>
              <m:t>TAnual</m:t>
            </m:r>
          </m:e>
          <m:sub>
            <m:r>
              <w:rPr>
                <w:rFonts w:ascii="Cambria Math" w:hAnsi="Cambria Math" w:cs="Arial"/>
                <w:sz w:val="16"/>
                <w:szCs w:val="16"/>
              </w:rPr>
              <m:t>i</m:t>
            </m:r>
          </m:sub>
        </m:sSub>
      </m:oMath>
      <w:r w:rsidR="00FB26D3" w:rsidRPr="008270B7">
        <w:rPr>
          <w:rFonts w:cs="Arial"/>
          <w:sz w:val="16"/>
          <w:szCs w:val="16"/>
        </w:rPr>
        <w:t xml:space="preserve">: corresponde a la tarifa máxima anual aplicable a la categoría </w:t>
      </w:r>
      <m:oMath>
        <m:r>
          <w:rPr>
            <w:rFonts w:ascii="Cambria Math" w:hAnsi="Cambria Math" w:cs="Arial"/>
            <w:sz w:val="16"/>
            <w:szCs w:val="16"/>
          </w:rPr>
          <m:t>i</m:t>
        </m:r>
      </m:oMath>
      <w:r w:rsidR="00FB26D3" w:rsidRPr="008270B7">
        <w:rPr>
          <w:rFonts w:cs="Arial"/>
          <w:sz w:val="16"/>
          <w:szCs w:val="16"/>
        </w:rPr>
        <w:t>, señalada en el Anexo I del Título IV de la Parte de II de la CBJ.</w:t>
      </w:r>
    </w:p>
    <w:p w14:paraId="7F1B53D2" w14:textId="77777777" w:rsidR="00FB26D3" w:rsidRPr="008270B7" w:rsidRDefault="00FB26D3" w:rsidP="008270B7">
      <w:pPr>
        <w:pStyle w:val="Prrafodelista"/>
        <w:tabs>
          <w:tab w:val="left" w:pos="284"/>
        </w:tabs>
        <w:ind w:left="0"/>
        <w:jc w:val="both"/>
        <w:rPr>
          <w:rFonts w:cs="Arial"/>
          <w:sz w:val="16"/>
          <w:szCs w:val="16"/>
        </w:rPr>
      </w:pPr>
    </w:p>
    <w:p w14:paraId="566B8B56" w14:textId="6FD9391B" w:rsidR="00FB26D3" w:rsidRPr="008270B7" w:rsidRDefault="008270B7" w:rsidP="008270B7">
      <w:pPr>
        <w:pStyle w:val="Prrafodelista"/>
        <w:tabs>
          <w:tab w:val="left" w:pos="284"/>
        </w:tabs>
        <w:ind w:left="0"/>
        <w:jc w:val="both"/>
        <w:rPr>
          <w:rFonts w:cs="Arial"/>
          <w:sz w:val="16"/>
          <w:szCs w:val="16"/>
        </w:rPr>
      </w:pPr>
      <m:oMath>
        <m:r>
          <w:rPr>
            <w:rFonts w:ascii="Cambria Math" w:hAnsi="Cambria Math" w:cs="Arial"/>
            <w:sz w:val="16"/>
            <w:szCs w:val="16"/>
          </w:rPr>
          <m:t>T</m:t>
        </m:r>
      </m:oMath>
      <w:r w:rsidR="00FB26D3" w:rsidRPr="008270B7">
        <w:rPr>
          <w:rFonts w:cs="Arial"/>
          <w:sz w:val="16"/>
          <w:szCs w:val="16"/>
        </w:rPr>
        <w:t>: corresponde a la suma de los porcentajes de transferencias señalados en la normatividad vigente.</w:t>
      </w:r>
    </w:p>
    <w:p w14:paraId="76CD3961" w14:textId="77777777" w:rsidR="00FB26D3" w:rsidRPr="008270B7" w:rsidRDefault="00FB26D3" w:rsidP="008270B7">
      <w:pPr>
        <w:pStyle w:val="Prrafodelista"/>
        <w:tabs>
          <w:tab w:val="left" w:pos="284"/>
        </w:tabs>
        <w:ind w:left="0"/>
        <w:jc w:val="both"/>
        <w:rPr>
          <w:rFonts w:cs="Arial"/>
          <w:sz w:val="16"/>
          <w:szCs w:val="16"/>
        </w:rPr>
      </w:pPr>
    </w:p>
    <w:p w14:paraId="3A1F47F5" w14:textId="3010DD2F" w:rsidR="00FB26D3" w:rsidRPr="008270B7" w:rsidRDefault="008270B7" w:rsidP="008270B7">
      <w:pPr>
        <w:pStyle w:val="Prrafodelista"/>
        <w:tabs>
          <w:tab w:val="left" w:pos="284"/>
        </w:tabs>
        <w:ind w:left="0"/>
        <w:jc w:val="both"/>
        <w:rPr>
          <w:rFonts w:cs="Arial"/>
          <w:sz w:val="16"/>
          <w:szCs w:val="16"/>
        </w:rPr>
      </w:pPr>
      <m:oMath>
        <m:r>
          <w:rPr>
            <w:rFonts w:ascii="Cambria Math" w:hAnsi="Cambria Math" w:cs="Arial"/>
            <w:sz w:val="16"/>
            <w:szCs w:val="16"/>
          </w:rPr>
          <m:t>G</m:t>
        </m:r>
      </m:oMath>
      <w:r w:rsidR="00FB26D3" w:rsidRPr="008270B7">
        <w:rPr>
          <w:rFonts w:cs="Arial"/>
          <w:sz w:val="16"/>
          <w:szCs w:val="16"/>
        </w:rPr>
        <w:t>: corresponde a la suma de los porcentajes de gastos de administración, personal e intermediación señalados en la nota técnica del ramo.</w:t>
      </w:r>
    </w:p>
    <w:p w14:paraId="5D185672" w14:textId="77777777" w:rsidR="00FB26D3" w:rsidRPr="008270B7" w:rsidRDefault="00FB26D3" w:rsidP="008270B7">
      <w:pPr>
        <w:pStyle w:val="Prrafodelista"/>
        <w:tabs>
          <w:tab w:val="left" w:pos="284"/>
        </w:tabs>
        <w:ind w:left="0"/>
        <w:jc w:val="both"/>
        <w:rPr>
          <w:rFonts w:cs="Arial"/>
          <w:sz w:val="16"/>
          <w:szCs w:val="16"/>
        </w:rPr>
      </w:pPr>
    </w:p>
    <w:p w14:paraId="09B94875" w14:textId="74A8E9B7" w:rsidR="00FB26D3" w:rsidRPr="008270B7" w:rsidRDefault="008270B7" w:rsidP="008270B7">
      <w:pPr>
        <w:pStyle w:val="Prrafodelista"/>
        <w:tabs>
          <w:tab w:val="left" w:pos="426"/>
        </w:tabs>
        <w:spacing w:after="160" w:line="259" w:lineRule="auto"/>
        <w:ind w:left="0"/>
        <w:rPr>
          <w:rFonts w:ascii="Cambria Math" w:eastAsiaTheme="minorEastAsia" w:hAnsi="Cambria Math" w:cs="Calibri"/>
          <w:i/>
        </w:rPr>
      </w:pPr>
      <m:oMath>
        <m:r>
          <w:rPr>
            <w:rFonts w:ascii="Cambria Math" w:hAnsi="Cambria Math" w:cs="Arial"/>
            <w:sz w:val="16"/>
            <w:szCs w:val="16"/>
          </w:rPr>
          <m:t>Ndias</m:t>
        </m:r>
      </m:oMath>
      <w:r w:rsidR="00FB26D3" w:rsidRPr="008270B7">
        <w:rPr>
          <w:rFonts w:cs="Arial"/>
          <w:sz w:val="16"/>
          <w:szCs w:val="16"/>
        </w:rPr>
        <w:t>: número de días de vigencia de la póliza para los vehículos extranjeros que circulan en zonas fronterizas.</w:t>
      </w:r>
    </w:p>
    <w:p w14:paraId="241D5958" w14:textId="77777777" w:rsidR="00FB26D3" w:rsidRPr="008270B7" w:rsidRDefault="00FB26D3" w:rsidP="008270B7">
      <w:pPr>
        <w:pStyle w:val="Prrafodelista"/>
        <w:tabs>
          <w:tab w:val="left" w:pos="284"/>
        </w:tabs>
        <w:ind w:left="0"/>
        <w:jc w:val="both"/>
        <w:rPr>
          <w:rFonts w:eastAsiaTheme="minorEastAsia" w:cs="Arial"/>
          <w:iCs/>
          <w:sz w:val="16"/>
          <w:szCs w:val="16"/>
        </w:rPr>
      </w:pPr>
    </w:p>
    <w:p w14:paraId="14F93839" w14:textId="1DD56910" w:rsidR="00FB26D3" w:rsidRPr="008270B7" w:rsidRDefault="008270B7" w:rsidP="008270B7">
      <w:pPr>
        <w:pStyle w:val="Prrafodelista"/>
        <w:tabs>
          <w:tab w:val="left" w:pos="284"/>
        </w:tabs>
        <w:ind w:left="0"/>
        <w:jc w:val="both"/>
        <w:rPr>
          <w:rFonts w:cs="Arial"/>
          <w:sz w:val="16"/>
          <w:szCs w:val="16"/>
        </w:rPr>
      </w:pPr>
      <m:oMath>
        <m:r>
          <w:rPr>
            <w:rFonts w:ascii="Cambria Math" w:hAnsi="Cambria Math" w:cs="Arial"/>
            <w:sz w:val="16"/>
            <w:szCs w:val="16"/>
          </w:rPr>
          <m:t>m</m:t>
        </m:r>
      </m:oMath>
      <w:r w:rsidR="00FB26D3" w:rsidRPr="008270B7">
        <w:rPr>
          <w:rFonts w:cs="Arial"/>
          <w:sz w:val="16"/>
          <w:szCs w:val="16"/>
        </w:rPr>
        <w:t xml:space="preserve">: número entero en meses de la vigencia de la póliza. Se calcula como: </w:t>
      </w:r>
    </w:p>
    <w:p w14:paraId="37EE9F7A" w14:textId="77777777" w:rsidR="00FB26D3" w:rsidRPr="008270B7" w:rsidRDefault="00FB26D3" w:rsidP="008270B7">
      <w:pPr>
        <w:pStyle w:val="Prrafodelista"/>
        <w:tabs>
          <w:tab w:val="left" w:pos="284"/>
        </w:tabs>
        <w:ind w:left="0"/>
        <w:jc w:val="both"/>
        <w:rPr>
          <w:rFonts w:cs="Arial"/>
          <w:sz w:val="16"/>
          <w:szCs w:val="16"/>
        </w:rPr>
      </w:pPr>
    </w:p>
    <w:p w14:paraId="5868CAB5" w14:textId="19941E80" w:rsidR="00FB26D3" w:rsidRPr="008270B7" w:rsidRDefault="008270B7" w:rsidP="008270B7">
      <w:pPr>
        <w:pStyle w:val="Prrafodelista"/>
        <w:tabs>
          <w:tab w:val="left" w:pos="284"/>
        </w:tabs>
        <w:ind w:left="0"/>
        <w:jc w:val="both"/>
        <w:rPr>
          <w:rFonts w:cs="Arial"/>
          <w:sz w:val="16"/>
          <w:szCs w:val="16"/>
        </w:rPr>
      </w:pPr>
      <m:oMathPara>
        <m:oMath>
          <m:r>
            <w:rPr>
              <w:rFonts w:ascii="Cambria Math" w:hAnsi="Cambria Math" w:cs="Arial"/>
              <w:sz w:val="16"/>
              <w:szCs w:val="16"/>
            </w:rPr>
            <m:t>m=</m:t>
          </m:r>
          <m:d>
            <m:dPr>
              <m:begChr m:val="⌈"/>
              <m:endChr m:val="⌉"/>
              <m:ctrlPr>
                <w:rPr>
                  <w:rFonts w:ascii="Cambria Math" w:hAnsi="Cambria Math" w:cs="Arial"/>
                  <w:i/>
                  <w:sz w:val="16"/>
                  <w:szCs w:val="16"/>
                </w:rPr>
              </m:ctrlPr>
            </m:dPr>
            <m:e>
              <m:r>
                <w:rPr>
                  <w:rFonts w:ascii="Cambria Math" w:hAnsi="Cambria Math" w:cs="Arial"/>
                  <w:sz w:val="16"/>
                  <w:szCs w:val="16"/>
                </w:rPr>
                <m:t>Ndías/30</m:t>
              </m:r>
            </m:e>
          </m:d>
        </m:oMath>
      </m:oMathPara>
    </w:p>
    <w:p w14:paraId="47357538" w14:textId="77777777" w:rsidR="00FB26D3" w:rsidRPr="008270B7" w:rsidRDefault="00FB26D3" w:rsidP="008270B7">
      <w:pPr>
        <w:pStyle w:val="Prrafodelista"/>
        <w:tabs>
          <w:tab w:val="left" w:pos="284"/>
        </w:tabs>
        <w:ind w:left="0"/>
        <w:jc w:val="both"/>
        <w:rPr>
          <w:rFonts w:cs="Arial"/>
          <w:sz w:val="16"/>
          <w:szCs w:val="16"/>
        </w:rPr>
      </w:pPr>
      <w:r w:rsidRPr="008270B7">
        <w:rPr>
          <w:rFonts w:cs="Arial"/>
          <w:sz w:val="16"/>
          <w:szCs w:val="16"/>
        </w:rPr>
        <w:t>Donde:</w:t>
      </w:r>
    </w:p>
    <w:p w14:paraId="68DEBBA9" w14:textId="77777777" w:rsidR="00FB26D3" w:rsidRPr="008270B7" w:rsidRDefault="00FB26D3" w:rsidP="008270B7">
      <w:pPr>
        <w:pStyle w:val="Prrafodelista"/>
        <w:tabs>
          <w:tab w:val="left" w:pos="284"/>
        </w:tabs>
        <w:ind w:left="0"/>
        <w:jc w:val="both"/>
        <w:rPr>
          <w:rFonts w:cs="Arial"/>
          <w:sz w:val="16"/>
          <w:szCs w:val="16"/>
        </w:rPr>
      </w:pPr>
    </w:p>
    <w:p w14:paraId="43D225D3" w14:textId="3A1A185C" w:rsidR="00FB26D3" w:rsidRPr="008270B7" w:rsidRDefault="00000000" w:rsidP="008270B7">
      <w:pPr>
        <w:pStyle w:val="Prrafodelista"/>
        <w:tabs>
          <w:tab w:val="left" w:pos="284"/>
        </w:tabs>
        <w:ind w:left="0"/>
        <w:jc w:val="both"/>
        <w:rPr>
          <w:rFonts w:cs="Arial"/>
          <w:sz w:val="16"/>
          <w:szCs w:val="16"/>
        </w:rPr>
      </w:pPr>
      <m:oMath>
        <m:d>
          <m:dPr>
            <m:begChr m:val="⌈"/>
            <m:endChr m:val="⌉"/>
            <m:ctrlPr>
              <w:rPr>
                <w:rFonts w:ascii="Cambria Math" w:hAnsi="Cambria Math" w:cs="Arial"/>
                <w:i/>
                <w:sz w:val="16"/>
                <w:szCs w:val="16"/>
              </w:rPr>
            </m:ctrlPr>
          </m:dPr>
          <m:e>
            <m:r>
              <w:rPr>
                <w:rFonts w:ascii="Cambria Math" w:hAnsi="Cambria Math" w:cs="Arial"/>
                <w:sz w:val="16"/>
                <w:szCs w:val="16"/>
              </w:rPr>
              <m:t>Ndías/30</m:t>
            </m:r>
          </m:e>
        </m:d>
      </m:oMath>
      <w:r w:rsidR="00FB26D3" w:rsidRPr="008270B7">
        <w:rPr>
          <w:rFonts w:cs="Arial"/>
          <w:sz w:val="16"/>
          <w:szCs w:val="16"/>
        </w:rPr>
        <w:t xml:space="preserve">: = Corresponde al mínimo número entero que es mayor o igual a </w:t>
      </w:r>
      <m:oMath>
        <m:r>
          <w:rPr>
            <w:rFonts w:ascii="Cambria Math" w:hAnsi="Cambria Math" w:cs="Arial"/>
            <w:sz w:val="16"/>
            <w:szCs w:val="16"/>
          </w:rPr>
          <m:t>Ndías/30</m:t>
        </m:r>
      </m:oMath>
      <w:r w:rsidR="00FB26D3" w:rsidRPr="008270B7">
        <w:rPr>
          <w:rFonts w:cs="Arial"/>
          <w:sz w:val="16"/>
          <w:szCs w:val="16"/>
        </w:rPr>
        <w:t>. Esta función se denomina techo.</w:t>
      </w:r>
    </w:p>
    <w:p w14:paraId="7001EAEA" w14:textId="77777777" w:rsidR="00FB26D3" w:rsidRPr="008270B7" w:rsidRDefault="00FB26D3" w:rsidP="008270B7">
      <w:pPr>
        <w:pStyle w:val="Prrafodelista"/>
        <w:tabs>
          <w:tab w:val="left" w:pos="284"/>
        </w:tabs>
        <w:ind w:left="0"/>
        <w:jc w:val="both"/>
        <w:rPr>
          <w:rFonts w:cs="Arial"/>
          <w:sz w:val="16"/>
          <w:szCs w:val="16"/>
        </w:rPr>
      </w:pPr>
    </w:p>
    <w:p w14:paraId="149DF5FE" w14:textId="1E73DB1B" w:rsidR="00FB26D3" w:rsidRPr="008270B7" w:rsidRDefault="00000000" w:rsidP="008270B7">
      <w:pPr>
        <w:pStyle w:val="Prrafodelista"/>
        <w:tabs>
          <w:tab w:val="left" w:pos="284"/>
        </w:tabs>
        <w:ind w:left="0"/>
        <w:jc w:val="both"/>
        <w:rPr>
          <w:rFonts w:cs="Arial"/>
          <w:sz w:val="16"/>
          <w:szCs w:val="16"/>
        </w:rPr>
      </w:pPr>
      <m:oMath>
        <m:sSub>
          <m:sSubPr>
            <m:ctrlPr>
              <w:rPr>
                <w:rFonts w:ascii="Cambria Math" w:hAnsi="Cambria Math" w:cs="Arial"/>
                <w:i/>
                <w:sz w:val="16"/>
                <w:szCs w:val="16"/>
                <w:lang w:val="es-CO"/>
              </w:rPr>
            </m:ctrlPr>
          </m:sSubPr>
          <m:e>
            <m:r>
              <w:rPr>
                <w:rFonts w:ascii="Cambria Math" w:hAnsi="Cambria Math" w:cs="Arial"/>
                <w:sz w:val="16"/>
                <w:szCs w:val="16"/>
                <w:lang w:val="es-CO"/>
              </w:rPr>
              <m:t>G</m:t>
            </m:r>
          </m:e>
          <m:sub>
            <m:r>
              <w:rPr>
                <w:rFonts w:ascii="Cambria Math" w:hAnsi="Cambria Math" w:cs="Arial"/>
                <w:sz w:val="16"/>
                <w:szCs w:val="16"/>
                <w:lang w:val="es-CO"/>
              </w:rPr>
              <m:t>i,m</m:t>
            </m:r>
          </m:sub>
        </m:sSub>
      </m:oMath>
      <w:r w:rsidR="00FB26D3" w:rsidRPr="008270B7">
        <w:rPr>
          <w:rFonts w:cs="Arial"/>
          <w:sz w:val="16"/>
          <w:szCs w:val="16"/>
          <w:lang w:val="es-CO"/>
        </w:rPr>
        <w:t xml:space="preserve">: corresponde </w:t>
      </w:r>
      <w:r w:rsidR="00FB26D3" w:rsidRPr="008270B7">
        <w:rPr>
          <w:rFonts w:cs="Arial"/>
          <w:sz w:val="16"/>
          <w:szCs w:val="16"/>
        </w:rPr>
        <w:t xml:space="preserve">a </w:t>
      </w:r>
      <w:r w:rsidR="00FB26D3" w:rsidRPr="008270B7">
        <w:rPr>
          <w:rFonts w:cs="Arial"/>
          <w:sz w:val="16"/>
          <w:szCs w:val="16"/>
          <w:lang w:val="es-CO"/>
        </w:rPr>
        <w:t xml:space="preserve">los </w:t>
      </w:r>
      <w:r w:rsidR="00FB26D3" w:rsidRPr="008270B7">
        <w:rPr>
          <w:rFonts w:cs="Arial"/>
          <w:sz w:val="16"/>
          <w:szCs w:val="16"/>
        </w:rPr>
        <w:t xml:space="preserve">gastos de administración, personal e intermediación de la categoría </w:t>
      </w:r>
      <m:oMath>
        <m:r>
          <w:rPr>
            <w:rFonts w:ascii="Cambria Math" w:hAnsi="Cambria Math" w:cs="Arial"/>
            <w:sz w:val="16"/>
            <w:szCs w:val="16"/>
          </w:rPr>
          <m:t>i</m:t>
        </m:r>
      </m:oMath>
      <w:r w:rsidR="00FB26D3" w:rsidRPr="008270B7">
        <w:rPr>
          <w:rFonts w:cs="Arial"/>
          <w:sz w:val="16"/>
          <w:szCs w:val="16"/>
        </w:rPr>
        <w:t xml:space="preserve"> para meses enteros de vigencia </w:t>
      </w:r>
      <m:oMath>
        <m:r>
          <w:rPr>
            <w:rFonts w:ascii="Cambria Math" w:hAnsi="Cambria Math" w:cs="Arial"/>
            <w:sz w:val="16"/>
            <w:szCs w:val="16"/>
          </w:rPr>
          <m:t>m</m:t>
        </m:r>
      </m:oMath>
      <w:r w:rsidR="00FB26D3" w:rsidRPr="008270B7">
        <w:rPr>
          <w:rFonts w:cs="Arial"/>
          <w:sz w:val="16"/>
          <w:szCs w:val="16"/>
        </w:rPr>
        <w:t>, calculados de la siguiente manera:</w:t>
      </w:r>
    </w:p>
    <w:p w14:paraId="0AF2C2CE" w14:textId="77777777" w:rsidR="00FB26D3" w:rsidRPr="008270B7" w:rsidRDefault="00FB26D3" w:rsidP="008270B7">
      <w:pPr>
        <w:pStyle w:val="Prrafodelista"/>
        <w:tabs>
          <w:tab w:val="left" w:pos="284"/>
        </w:tabs>
        <w:ind w:left="0"/>
        <w:jc w:val="both"/>
        <w:rPr>
          <w:rFonts w:cs="Arial"/>
          <w:sz w:val="16"/>
          <w:szCs w:val="16"/>
        </w:rPr>
      </w:pPr>
    </w:p>
    <w:p w14:paraId="1E280EC9" w14:textId="77777777" w:rsidR="00FB26D3" w:rsidRPr="008270B7" w:rsidRDefault="00FB26D3" w:rsidP="008270B7">
      <w:pPr>
        <w:pStyle w:val="Prrafodelista"/>
        <w:tabs>
          <w:tab w:val="left" w:pos="284"/>
        </w:tabs>
        <w:ind w:left="0"/>
        <w:jc w:val="center"/>
        <w:rPr>
          <w:rFonts w:cs="Arial"/>
          <w:sz w:val="16"/>
          <w:szCs w:val="16"/>
        </w:rPr>
      </w:pPr>
    </w:p>
    <w:p w14:paraId="01CC0679" w14:textId="3B0BE122" w:rsidR="00FB26D3" w:rsidRPr="008270B7" w:rsidRDefault="00000000" w:rsidP="008270B7">
      <w:pPr>
        <w:pStyle w:val="Prrafodelista"/>
        <w:tabs>
          <w:tab w:val="left" w:pos="284"/>
        </w:tabs>
        <w:ind w:left="0"/>
        <w:jc w:val="center"/>
        <w:rPr>
          <w:rFonts w:cs="Arial"/>
          <w:sz w:val="16"/>
          <w:szCs w:val="16"/>
        </w:rPr>
      </w:pPr>
      <m:oMathPara>
        <m:oMath>
          <m:sSub>
            <m:sSubPr>
              <m:ctrlPr>
                <w:rPr>
                  <w:rFonts w:ascii="Cambria Math" w:hAnsi="Cambria Math" w:cs="Arial"/>
                  <w:i/>
                  <w:sz w:val="16"/>
                  <w:szCs w:val="16"/>
                  <w:lang w:val="es-CO"/>
                </w:rPr>
              </m:ctrlPr>
            </m:sSubPr>
            <m:e>
              <m:r>
                <w:rPr>
                  <w:rFonts w:ascii="Cambria Math" w:hAnsi="Cambria Math" w:cs="Arial"/>
                  <w:sz w:val="16"/>
                  <w:szCs w:val="16"/>
                  <w:lang w:val="es-CO"/>
                </w:rPr>
                <m:t>G</m:t>
              </m:r>
            </m:e>
            <m:sub>
              <m:r>
                <w:rPr>
                  <w:rFonts w:ascii="Cambria Math" w:hAnsi="Cambria Math" w:cs="Arial"/>
                  <w:sz w:val="16"/>
                  <w:szCs w:val="16"/>
                  <w:lang w:val="es-CO"/>
                </w:rPr>
                <m:t>i,m</m:t>
              </m:r>
            </m:sub>
          </m:sSub>
          <m:r>
            <m:rPr>
              <m:sty m:val="p"/>
            </m:rPr>
            <w:rPr>
              <w:rFonts w:ascii="Cambria Math" w:hAnsi="Cambria Math" w:cs="Arial"/>
              <w:sz w:val="16"/>
              <w:szCs w:val="16"/>
            </w:rPr>
            <m:t>=</m:t>
          </m:r>
          <m:r>
            <w:rPr>
              <w:rFonts w:ascii="Cambria Math" w:hAnsi="Cambria Math" w:cs="Arial"/>
              <w:sz w:val="16"/>
              <w:szCs w:val="16"/>
              <w:lang w:val="es-CO"/>
            </w:rPr>
            <m:t>G</m:t>
          </m:r>
          <m:r>
            <m:rPr>
              <m:sty m:val="p"/>
            </m:rPr>
            <w:rPr>
              <w:rFonts w:ascii="Cambria Math" w:hAnsi="Cambria Math" w:cs="Arial"/>
              <w:sz w:val="16"/>
              <w:szCs w:val="16"/>
            </w:rPr>
            <m:t>*</m:t>
          </m:r>
          <m:sSub>
            <m:sSubPr>
              <m:ctrlPr>
                <w:rPr>
                  <w:rFonts w:ascii="Cambria Math" w:hAnsi="Cambria Math" w:cs="Arial"/>
                  <w:sz w:val="16"/>
                  <w:szCs w:val="16"/>
                </w:rPr>
              </m:ctrlPr>
            </m:sSubPr>
            <m:e>
              <m:r>
                <w:rPr>
                  <w:rFonts w:ascii="Cambria Math" w:hAnsi="Cambria Math" w:cs="Arial"/>
                  <w:sz w:val="16"/>
                  <w:szCs w:val="16"/>
                </w:rPr>
                <m:t>TAnual</m:t>
              </m:r>
            </m:e>
            <m:sub>
              <m:r>
                <w:rPr>
                  <w:rFonts w:ascii="Cambria Math" w:hAnsi="Cambria Math" w:cs="Arial"/>
                  <w:sz w:val="16"/>
                  <w:szCs w:val="16"/>
                </w:rPr>
                <m:t>i</m:t>
              </m:r>
            </m:sub>
          </m:sSub>
          <m:r>
            <m:rPr>
              <m:sty m:val="p"/>
            </m:rPr>
            <w:rPr>
              <w:rFonts w:ascii="Cambria Math" w:hAnsi="Cambria Math" w:cs="Arial"/>
              <w:sz w:val="16"/>
              <w:szCs w:val="16"/>
            </w:rPr>
            <m:t>*</m:t>
          </m:r>
          <m:d>
            <m:dPr>
              <m:ctrlPr>
                <w:rPr>
                  <w:rFonts w:ascii="Cambria Math" w:hAnsi="Cambria Math" w:cs="Arial"/>
                  <w:sz w:val="16"/>
                  <w:szCs w:val="16"/>
                </w:rPr>
              </m:ctrlPr>
            </m:dPr>
            <m:e>
              <m:r>
                <m:rPr>
                  <m:sty m:val="p"/>
                </m:rPr>
                <w:rPr>
                  <w:rFonts w:ascii="Cambria Math" w:hAnsi="Cambria Math" w:cs="Arial"/>
                  <w:sz w:val="16"/>
                  <w:szCs w:val="16"/>
                </w:rPr>
                <m:t>1-</m:t>
              </m:r>
              <m:r>
                <w:rPr>
                  <w:rFonts w:ascii="Cambria Math" w:hAnsi="Cambria Math" w:cs="Arial"/>
                  <w:sz w:val="16"/>
                  <w:szCs w:val="16"/>
                </w:rPr>
                <m:t>T</m:t>
              </m:r>
            </m:e>
          </m:d>
          <m:r>
            <m:rPr>
              <m:sty m:val="p"/>
            </m:rPr>
            <w:rPr>
              <w:rFonts w:ascii="Cambria Math" w:hAnsi="Cambria Math" w:cs="Arial"/>
              <w:sz w:val="16"/>
              <w:szCs w:val="16"/>
            </w:rPr>
            <m:t>*</m:t>
          </m:r>
          <m:f>
            <m:fPr>
              <m:ctrlPr>
                <w:rPr>
                  <w:rFonts w:ascii="Cambria Math" w:hAnsi="Cambria Math" w:cs="Arial"/>
                  <w:sz w:val="16"/>
                  <w:szCs w:val="16"/>
                </w:rPr>
              </m:ctrlPr>
            </m:fPr>
            <m:num>
              <m:r>
                <w:rPr>
                  <w:rFonts w:ascii="Cambria Math" w:hAnsi="Cambria Math" w:cs="Arial"/>
                  <w:sz w:val="16"/>
                  <w:szCs w:val="16"/>
                </w:rPr>
                <m:t>m</m:t>
              </m:r>
            </m:num>
            <m:den>
              <m:r>
                <w:rPr>
                  <w:rFonts w:ascii="Cambria Math" w:hAnsi="Cambria Math" w:cs="Arial"/>
                  <w:sz w:val="16"/>
                  <w:szCs w:val="16"/>
                </w:rPr>
                <m:t>12</m:t>
              </m:r>
            </m:den>
          </m:f>
        </m:oMath>
      </m:oMathPara>
    </w:p>
    <w:p w14:paraId="0B20EE15" w14:textId="77777777" w:rsidR="00FB26D3" w:rsidRPr="008270B7" w:rsidRDefault="00FB26D3" w:rsidP="008270B7">
      <w:pPr>
        <w:jc w:val="both"/>
        <w:rPr>
          <w:rFonts w:cs="Arial"/>
          <w:sz w:val="16"/>
          <w:szCs w:val="16"/>
        </w:rPr>
      </w:pPr>
    </w:p>
    <w:p w14:paraId="14B4D04B" w14:textId="095A4FDC" w:rsidR="009B06EA" w:rsidRPr="008270B7" w:rsidRDefault="00FB26D3" w:rsidP="008270B7">
      <w:pPr>
        <w:jc w:val="both"/>
        <w:rPr>
          <w:rFonts w:cs="Arial"/>
          <w:sz w:val="16"/>
          <w:szCs w:val="16"/>
        </w:rPr>
      </w:pPr>
      <w:r w:rsidRPr="008270B7">
        <w:rPr>
          <w:rFonts w:cs="Arial"/>
          <w:sz w:val="16"/>
          <w:szCs w:val="16"/>
        </w:rPr>
        <w:t xml:space="preserve">Las entidades aseguradoras dispondrán lo pertinente para que se garantice la adecuada y oportuna emisión de las pólizas para los vehículos extranjeros que circulen por zonas fronterizas, atendiendo lo dispuesto en el presente </w:t>
      </w:r>
      <w:proofErr w:type="spellStart"/>
      <w:r w:rsidRPr="008270B7">
        <w:rPr>
          <w:rFonts w:cs="Arial"/>
          <w:sz w:val="16"/>
          <w:szCs w:val="16"/>
        </w:rPr>
        <w:t>subnumeral</w:t>
      </w:r>
      <w:proofErr w:type="spellEnd"/>
      <w:r w:rsidRPr="008270B7">
        <w:rPr>
          <w:rFonts w:cs="Arial"/>
          <w:sz w:val="16"/>
          <w:szCs w:val="16"/>
        </w:rPr>
        <w:t>.</w:t>
      </w:r>
    </w:p>
    <w:p w14:paraId="77A79C71" w14:textId="77777777" w:rsidR="009B06EA" w:rsidRPr="008270B7" w:rsidRDefault="009B06EA" w:rsidP="008270B7">
      <w:pPr>
        <w:jc w:val="both"/>
        <w:rPr>
          <w:rFonts w:cs="Arial"/>
          <w:sz w:val="16"/>
          <w:szCs w:val="16"/>
        </w:rPr>
        <w:sectPr w:rsidR="009B06EA" w:rsidRPr="008270B7" w:rsidSect="000E118C">
          <w:headerReference w:type="default" r:id="rId73"/>
          <w:footerReference w:type="default" r:id="rId74"/>
          <w:headerReference w:type="first" r:id="rId75"/>
          <w:footerReference w:type="first" r:id="rId76"/>
          <w:pgSz w:w="12240" w:h="18720" w:code="257"/>
          <w:pgMar w:top="1417" w:right="1701" w:bottom="1417" w:left="1701" w:header="709" w:footer="865" w:gutter="0"/>
          <w:pgNumType w:start="30"/>
          <w:cols w:space="708"/>
          <w:titlePg/>
          <w:docGrid w:linePitch="360"/>
        </w:sectPr>
      </w:pPr>
    </w:p>
    <w:p w14:paraId="74299B07" w14:textId="77777777" w:rsidR="009B06EA" w:rsidRPr="008270B7" w:rsidRDefault="009B06EA" w:rsidP="008270B7">
      <w:pPr>
        <w:tabs>
          <w:tab w:val="left" w:pos="720"/>
        </w:tabs>
        <w:jc w:val="both"/>
        <w:rPr>
          <w:rFonts w:cs="Arial"/>
          <w:sz w:val="16"/>
          <w:szCs w:val="16"/>
        </w:rPr>
      </w:pPr>
      <w:r w:rsidRPr="008270B7">
        <w:rPr>
          <w:rFonts w:cs="Arial"/>
          <w:sz w:val="16"/>
          <w:szCs w:val="16"/>
        </w:rPr>
        <w:lastRenderedPageBreak/>
        <w:t>Para los vehículos que hayan obtenido la clasificación como automóviles antiguos o clásicos la vigencia de dicha póliza no puede ser menor a 1 trimestre.</w:t>
      </w:r>
    </w:p>
    <w:p w14:paraId="7B2D3EAB" w14:textId="77777777" w:rsidR="009B06EA" w:rsidRPr="008270B7" w:rsidRDefault="009B06EA" w:rsidP="008270B7">
      <w:pPr>
        <w:tabs>
          <w:tab w:val="left" w:pos="720"/>
        </w:tabs>
        <w:jc w:val="both"/>
        <w:rPr>
          <w:rFonts w:cs="Arial"/>
          <w:sz w:val="16"/>
          <w:szCs w:val="16"/>
        </w:rPr>
      </w:pPr>
    </w:p>
    <w:p w14:paraId="11CA3251" w14:textId="77777777" w:rsidR="009B06EA" w:rsidRPr="008270B7" w:rsidRDefault="009B06EA" w:rsidP="008270B7">
      <w:pPr>
        <w:jc w:val="both"/>
        <w:rPr>
          <w:rFonts w:cs="Arial"/>
          <w:sz w:val="16"/>
          <w:szCs w:val="16"/>
        </w:rPr>
      </w:pPr>
      <w:r w:rsidRPr="008270B7">
        <w:rPr>
          <w:rFonts w:cs="Arial"/>
          <w:sz w:val="16"/>
          <w:szCs w:val="16"/>
        </w:rPr>
        <w:t>3.1.6. Registro en el RUNT</w:t>
      </w:r>
    </w:p>
    <w:p w14:paraId="14F8FB36" w14:textId="77777777" w:rsidR="009B06EA" w:rsidRPr="008270B7" w:rsidRDefault="009B06EA" w:rsidP="008270B7">
      <w:pPr>
        <w:jc w:val="both"/>
        <w:rPr>
          <w:rFonts w:cs="Arial"/>
          <w:sz w:val="16"/>
          <w:szCs w:val="16"/>
        </w:rPr>
      </w:pPr>
    </w:p>
    <w:p w14:paraId="2EC9F96C" w14:textId="77777777" w:rsidR="009B06EA" w:rsidRPr="008270B7" w:rsidRDefault="009B06EA" w:rsidP="008270B7">
      <w:pPr>
        <w:jc w:val="both"/>
        <w:rPr>
          <w:rFonts w:cs="Arial"/>
          <w:sz w:val="16"/>
          <w:szCs w:val="16"/>
        </w:rPr>
      </w:pPr>
      <w:r w:rsidRPr="008270B7">
        <w:rPr>
          <w:rFonts w:cs="Arial"/>
          <w:sz w:val="16"/>
          <w:szCs w:val="16"/>
        </w:rPr>
        <w:t>Las entidades aseguradoras deben implementar mecanismos para asegurar el registro en el RUNT de la información relativa a la póliza del SOAT. Esta obligación no es aplicable a las pólizas que aseguren vehículos de servicio diplomático o los vehículos con placas extranjeras.</w:t>
      </w:r>
    </w:p>
    <w:p w14:paraId="15725D8F" w14:textId="77777777" w:rsidR="009B06EA" w:rsidRPr="008270B7" w:rsidRDefault="009B06EA" w:rsidP="008270B7">
      <w:pPr>
        <w:jc w:val="both"/>
        <w:rPr>
          <w:rFonts w:cs="Arial"/>
          <w:sz w:val="16"/>
          <w:szCs w:val="16"/>
        </w:rPr>
      </w:pPr>
    </w:p>
    <w:p w14:paraId="5F7BE8B3" w14:textId="77777777" w:rsidR="009B06EA" w:rsidRPr="008270B7" w:rsidRDefault="009B06EA" w:rsidP="008270B7">
      <w:pPr>
        <w:jc w:val="both"/>
        <w:rPr>
          <w:rFonts w:cs="Arial"/>
          <w:sz w:val="16"/>
          <w:szCs w:val="16"/>
        </w:rPr>
      </w:pPr>
      <w:r w:rsidRPr="008270B7">
        <w:rPr>
          <w:rFonts w:cs="Arial"/>
          <w:sz w:val="16"/>
          <w:szCs w:val="16"/>
        </w:rPr>
        <w:t>En el evento en que no sea posible el registro de la póliza en el RUNT al momento de su expedición, las entidades aseguradoras contarán con un término de 24 horas a partir de su expedición para registrar la póliza</w:t>
      </w:r>
    </w:p>
    <w:p w14:paraId="2F9B0C3F" w14:textId="77777777" w:rsidR="009B06EA" w:rsidRPr="008270B7" w:rsidRDefault="009B06EA" w:rsidP="008270B7">
      <w:pPr>
        <w:jc w:val="both"/>
        <w:rPr>
          <w:rFonts w:cs="Arial"/>
          <w:sz w:val="16"/>
          <w:szCs w:val="16"/>
        </w:rPr>
      </w:pPr>
    </w:p>
    <w:p w14:paraId="6A3191F8" w14:textId="77777777" w:rsidR="009B06EA" w:rsidRPr="008270B7" w:rsidRDefault="009B06EA" w:rsidP="008270B7">
      <w:pPr>
        <w:jc w:val="both"/>
        <w:rPr>
          <w:rFonts w:cs="Arial"/>
          <w:sz w:val="16"/>
          <w:szCs w:val="16"/>
        </w:rPr>
      </w:pPr>
      <w:r w:rsidRPr="008270B7">
        <w:rPr>
          <w:rFonts w:cs="Arial"/>
          <w:sz w:val="16"/>
          <w:szCs w:val="16"/>
        </w:rPr>
        <w:t>En ningún caso, los errores en el registro de la póliza en el RUNT eximen a las entidades aseguradoras de cumplir sus obligaciones adquiridas en virtud de un contrato de seguro existente.</w:t>
      </w:r>
    </w:p>
    <w:p w14:paraId="0AB9C312" w14:textId="77777777" w:rsidR="009B06EA" w:rsidRPr="008270B7" w:rsidRDefault="009B06EA" w:rsidP="008270B7">
      <w:pPr>
        <w:jc w:val="both"/>
        <w:rPr>
          <w:rFonts w:cs="Arial"/>
          <w:sz w:val="16"/>
          <w:szCs w:val="16"/>
        </w:rPr>
      </w:pPr>
    </w:p>
    <w:p w14:paraId="137D3334" w14:textId="77777777" w:rsidR="009B06EA" w:rsidRPr="008270B7" w:rsidRDefault="009B06EA" w:rsidP="008270B7">
      <w:pPr>
        <w:jc w:val="both"/>
        <w:rPr>
          <w:rFonts w:cs="Arial"/>
          <w:sz w:val="16"/>
          <w:szCs w:val="16"/>
        </w:rPr>
      </w:pPr>
      <w:r w:rsidRPr="008270B7">
        <w:rPr>
          <w:rFonts w:cs="Arial"/>
          <w:sz w:val="16"/>
          <w:szCs w:val="16"/>
        </w:rPr>
        <w:t>3.1.7 Verificación de duplicidad de pólizas</w:t>
      </w:r>
    </w:p>
    <w:p w14:paraId="45220511" w14:textId="77777777" w:rsidR="009B06EA" w:rsidRPr="008270B7" w:rsidRDefault="009B06EA" w:rsidP="008270B7">
      <w:pPr>
        <w:jc w:val="both"/>
        <w:rPr>
          <w:rFonts w:cs="Arial"/>
          <w:sz w:val="16"/>
          <w:szCs w:val="16"/>
        </w:rPr>
      </w:pPr>
    </w:p>
    <w:p w14:paraId="45293956" w14:textId="77777777" w:rsidR="009B06EA" w:rsidRPr="008270B7" w:rsidRDefault="009B06EA" w:rsidP="008270B7">
      <w:pPr>
        <w:jc w:val="both"/>
        <w:rPr>
          <w:rFonts w:cs="Arial"/>
          <w:sz w:val="16"/>
          <w:szCs w:val="16"/>
        </w:rPr>
      </w:pPr>
      <w:r w:rsidRPr="008270B7">
        <w:rPr>
          <w:rFonts w:cs="Arial"/>
          <w:sz w:val="16"/>
          <w:szCs w:val="16"/>
        </w:rPr>
        <w:t xml:space="preserve">Las entidades aseguradoras deben desarrollar procedimientos que le permitan corroborar al momento del registro de la póliza en el RUNT que no exista duplicidad de amparos y de pago de primas para el vehículo para el cual se adquiere el SOAT, en línea con lo establecido en el </w:t>
      </w:r>
      <w:proofErr w:type="spellStart"/>
      <w:r w:rsidRPr="008270B7">
        <w:rPr>
          <w:rFonts w:cs="Arial"/>
          <w:sz w:val="16"/>
          <w:szCs w:val="16"/>
        </w:rPr>
        <w:t>num</w:t>
      </w:r>
      <w:proofErr w:type="spellEnd"/>
      <w:r w:rsidRPr="008270B7">
        <w:rPr>
          <w:rFonts w:cs="Arial"/>
          <w:sz w:val="16"/>
          <w:szCs w:val="16"/>
        </w:rPr>
        <w:t xml:space="preserve">. 4 del art. 193 del EOSF. En el caso en que la entidad aseguradora corrobore que existe una póliza vigente, la vigencia de la que se pretende registrar debe iniciar desde el vencimiento de la póliza que ya se encuentra registrada y la entidad aseguradora debe informar al tomador sobre tal modificación. </w:t>
      </w:r>
    </w:p>
    <w:p w14:paraId="5989821D" w14:textId="77777777" w:rsidR="009B06EA" w:rsidRPr="008270B7" w:rsidRDefault="009B06EA" w:rsidP="008270B7">
      <w:pPr>
        <w:jc w:val="both"/>
        <w:rPr>
          <w:rFonts w:cs="Arial"/>
          <w:sz w:val="16"/>
          <w:szCs w:val="16"/>
        </w:rPr>
      </w:pPr>
    </w:p>
    <w:p w14:paraId="0B5185A1" w14:textId="77777777" w:rsidR="009B06EA" w:rsidRPr="008270B7" w:rsidRDefault="009B06EA" w:rsidP="008270B7">
      <w:pPr>
        <w:jc w:val="both"/>
        <w:rPr>
          <w:rFonts w:cs="Arial"/>
          <w:sz w:val="16"/>
          <w:szCs w:val="16"/>
        </w:rPr>
      </w:pPr>
      <w:r w:rsidRPr="008270B7">
        <w:rPr>
          <w:rFonts w:cs="Arial"/>
          <w:sz w:val="16"/>
          <w:szCs w:val="16"/>
        </w:rPr>
        <w:t>Las entidades aseguradoras deben incluir una cláusula dentro del contrato que les otorgue el derecho de modificar unilateralmente la vigencia del amparo, exclusivamente en beneficio del consumidor.</w:t>
      </w:r>
    </w:p>
    <w:p w14:paraId="518024F7" w14:textId="77777777" w:rsidR="009B06EA" w:rsidRPr="008270B7" w:rsidRDefault="009B06EA" w:rsidP="008270B7">
      <w:pPr>
        <w:pStyle w:val="Ttulo2"/>
        <w:jc w:val="both"/>
        <w:rPr>
          <w:b w:val="0"/>
          <w:bCs w:val="0"/>
          <w:szCs w:val="16"/>
        </w:rPr>
      </w:pPr>
    </w:p>
    <w:p w14:paraId="3C16E967" w14:textId="77777777" w:rsidR="009B06EA" w:rsidRPr="008270B7" w:rsidRDefault="009B06EA" w:rsidP="008270B7">
      <w:pPr>
        <w:pStyle w:val="Ttulo2"/>
        <w:jc w:val="both"/>
        <w:rPr>
          <w:b w:val="0"/>
          <w:bCs w:val="0"/>
          <w:szCs w:val="16"/>
        </w:rPr>
      </w:pPr>
      <w:bookmarkStart w:id="15" w:name="_Toc269950167"/>
      <w:r w:rsidRPr="008270B7">
        <w:rPr>
          <w:b w:val="0"/>
          <w:bCs w:val="0"/>
          <w:szCs w:val="16"/>
        </w:rPr>
        <w:t>3.2. Reglas aplicables al seguro previsional de invalidez y sobrevivientes</w:t>
      </w:r>
      <w:bookmarkEnd w:id="15"/>
    </w:p>
    <w:p w14:paraId="5604EDCE" w14:textId="77777777" w:rsidR="009B06EA" w:rsidRPr="008270B7" w:rsidRDefault="009B06EA" w:rsidP="008270B7">
      <w:pPr>
        <w:tabs>
          <w:tab w:val="left" w:pos="720"/>
        </w:tabs>
        <w:jc w:val="both"/>
        <w:rPr>
          <w:rFonts w:cs="Arial"/>
          <w:sz w:val="16"/>
          <w:szCs w:val="16"/>
        </w:rPr>
      </w:pPr>
    </w:p>
    <w:p w14:paraId="1623EC6D" w14:textId="77777777" w:rsidR="009B06EA" w:rsidRPr="008270B7" w:rsidRDefault="009B06EA" w:rsidP="008270B7">
      <w:pPr>
        <w:tabs>
          <w:tab w:val="left" w:pos="720"/>
        </w:tabs>
        <w:jc w:val="both"/>
        <w:rPr>
          <w:rFonts w:cs="Arial"/>
          <w:sz w:val="16"/>
          <w:szCs w:val="16"/>
        </w:rPr>
      </w:pPr>
      <w:r w:rsidRPr="008270B7">
        <w:rPr>
          <w:rFonts w:cs="Arial"/>
          <w:sz w:val="16"/>
          <w:szCs w:val="16"/>
        </w:rPr>
        <w:t>El art. 108 de la Ley 100 de 1993 establece la obligación de las administradoras de fondos de pensiones de suscribir seguros que garanticen los aportes adicionales necesarios para financiar las pensiones de invalidez y sobrevivientes, los cuales deben ser colectivos y de participación. A su vez el art. 79 de la mencionada ley consagra los planes que pueden expedir las entidades aseguradoras como opciones de pensión para los afiliados de una administradora.</w:t>
      </w:r>
    </w:p>
    <w:p w14:paraId="7B31DD59" w14:textId="77777777" w:rsidR="009B06EA" w:rsidRPr="008270B7" w:rsidRDefault="009B06EA" w:rsidP="008270B7">
      <w:pPr>
        <w:tabs>
          <w:tab w:val="left" w:pos="720"/>
        </w:tabs>
        <w:jc w:val="both"/>
        <w:rPr>
          <w:rFonts w:cs="Arial"/>
          <w:sz w:val="16"/>
          <w:szCs w:val="16"/>
        </w:rPr>
      </w:pPr>
    </w:p>
    <w:p w14:paraId="430591AC" w14:textId="77777777" w:rsidR="009B06EA" w:rsidRPr="008270B7" w:rsidRDefault="009B06EA" w:rsidP="008270B7">
      <w:pPr>
        <w:tabs>
          <w:tab w:val="left" w:pos="720"/>
        </w:tabs>
        <w:jc w:val="both"/>
        <w:rPr>
          <w:rFonts w:cs="Arial"/>
          <w:sz w:val="16"/>
          <w:szCs w:val="16"/>
        </w:rPr>
      </w:pPr>
      <w:r w:rsidRPr="008270B7">
        <w:rPr>
          <w:rFonts w:cs="Arial"/>
          <w:sz w:val="16"/>
          <w:szCs w:val="16"/>
        </w:rPr>
        <w:t xml:space="preserve">Para garantizar el adecuado cumplimiento de lo dispuesto en la mencionada ley, a </w:t>
      </w:r>
      <w:proofErr w:type="gramStart"/>
      <w:r w:rsidRPr="008270B7">
        <w:rPr>
          <w:rFonts w:cs="Arial"/>
          <w:sz w:val="16"/>
          <w:szCs w:val="16"/>
        </w:rPr>
        <w:t>continuación</w:t>
      </w:r>
      <w:proofErr w:type="gramEnd"/>
      <w:r w:rsidRPr="008270B7">
        <w:rPr>
          <w:rFonts w:cs="Arial"/>
          <w:sz w:val="16"/>
          <w:szCs w:val="16"/>
        </w:rPr>
        <w:t xml:space="preserve"> se establecen los requisitos mínimos que deben reunir tales pólizas de seguros:</w:t>
      </w:r>
    </w:p>
    <w:p w14:paraId="47B25484" w14:textId="77777777" w:rsidR="009B06EA" w:rsidRPr="008270B7" w:rsidRDefault="009B06EA" w:rsidP="008270B7">
      <w:pPr>
        <w:tabs>
          <w:tab w:val="left" w:pos="720"/>
        </w:tabs>
        <w:jc w:val="both"/>
        <w:rPr>
          <w:rFonts w:cs="Arial"/>
          <w:sz w:val="16"/>
          <w:szCs w:val="16"/>
        </w:rPr>
      </w:pPr>
    </w:p>
    <w:p w14:paraId="1F612E69" w14:textId="77777777" w:rsidR="009B06EA" w:rsidRPr="008270B7" w:rsidRDefault="009B06EA" w:rsidP="008270B7">
      <w:pPr>
        <w:tabs>
          <w:tab w:val="left" w:pos="720"/>
        </w:tabs>
        <w:jc w:val="both"/>
        <w:rPr>
          <w:rFonts w:cs="Arial"/>
          <w:sz w:val="16"/>
          <w:szCs w:val="16"/>
        </w:rPr>
      </w:pPr>
      <w:r w:rsidRPr="008270B7">
        <w:rPr>
          <w:rFonts w:cs="Arial"/>
          <w:sz w:val="16"/>
          <w:szCs w:val="16"/>
        </w:rPr>
        <w:t>3.2.1. Características de las pólizas. Las pólizas de seguro de invalidez y sobrevivientes que contraten las sociedades que administren fondos de pensiones deben ser colectivas y de participación.</w:t>
      </w:r>
    </w:p>
    <w:p w14:paraId="6E3E3F8B" w14:textId="77777777" w:rsidR="009B06EA" w:rsidRPr="008270B7" w:rsidRDefault="009B06EA" w:rsidP="008270B7">
      <w:pPr>
        <w:tabs>
          <w:tab w:val="left" w:pos="720"/>
        </w:tabs>
        <w:jc w:val="both"/>
        <w:rPr>
          <w:rFonts w:cs="Arial"/>
          <w:sz w:val="16"/>
          <w:szCs w:val="16"/>
        </w:rPr>
      </w:pPr>
    </w:p>
    <w:p w14:paraId="6518A9AF" w14:textId="77777777" w:rsidR="009B06EA" w:rsidRPr="008270B7" w:rsidRDefault="009B06EA" w:rsidP="008270B7">
      <w:pPr>
        <w:tabs>
          <w:tab w:val="left" w:pos="720"/>
        </w:tabs>
        <w:jc w:val="both"/>
        <w:rPr>
          <w:rFonts w:cs="Arial"/>
          <w:sz w:val="16"/>
          <w:szCs w:val="16"/>
        </w:rPr>
      </w:pPr>
      <w:r w:rsidRPr="008270B7">
        <w:rPr>
          <w:rFonts w:cs="Arial"/>
          <w:sz w:val="16"/>
          <w:szCs w:val="16"/>
        </w:rPr>
        <w:t>Las pólizas se entienden colectivas, para los efectos del presente instructivo, si otorgan cobertura a un número plural de afiliados de la administradora que contrata el seguro.</w:t>
      </w:r>
    </w:p>
    <w:p w14:paraId="7E3297E1" w14:textId="77777777" w:rsidR="009B06EA" w:rsidRPr="008270B7" w:rsidRDefault="009B06EA" w:rsidP="008270B7">
      <w:pPr>
        <w:tabs>
          <w:tab w:val="left" w:pos="720"/>
        </w:tabs>
        <w:jc w:val="both"/>
        <w:rPr>
          <w:rFonts w:cs="Arial"/>
          <w:sz w:val="16"/>
          <w:szCs w:val="16"/>
        </w:rPr>
      </w:pPr>
    </w:p>
    <w:p w14:paraId="75F995DC" w14:textId="77777777" w:rsidR="009B06EA" w:rsidRPr="008270B7" w:rsidRDefault="009B06EA" w:rsidP="008270B7">
      <w:pPr>
        <w:tabs>
          <w:tab w:val="left" w:pos="720"/>
        </w:tabs>
        <w:jc w:val="both"/>
        <w:rPr>
          <w:rFonts w:cs="Arial"/>
          <w:sz w:val="16"/>
          <w:szCs w:val="16"/>
        </w:rPr>
      </w:pPr>
      <w:r w:rsidRPr="008270B7">
        <w:rPr>
          <w:rFonts w:cs="Arial"/>
          <w:sz w:val="16"/>
          <w:szCs w:val="16"/>
        </w:rPr>
        <w:t>Las pólizas son de participación si la entidad aseguradora se obliga a repartir utilidades a los afiliados. La entidad aseguradora debe remitir previamente a la SFC las notas técnicas en las cuales se establezcan la forma de cálculo de dicha participación.</w:t>
      </w:r>
    </w:p>
    <w:p w14:paraId="02F71455" w14:textId="77777777" w:rsidR="009B06EA" w:rsidRPr="008270B7" w:rsidRDefault="009B06EA" w:rsidP="008270B7">
      <w:pPr>
        <w:tabs>
          <w:tab w:val="left" w:pos="720"/>
        </w:tabs>
        <w:jc w:val="both"/>
        <w:rPr>
          <w:rFonts w:cs="Arial"/>
          <w:sz w:val="16"/>
          <w:szCs w:val="16"/>
        </w:rPr>
      </w:pPr>
    </w:p>
    <w:p w14:paraId="5BD3BAA6" w14:textId="77777777" w:rsidR="009B06EA" w:rsidRPr="008270B7" w:rsidRDefault="009B06EA" w:rsidP="008270B7">
      <w:pPr>
        <w:tabs>
          <w:tab w:val="left" w:pos="720"/>
        </w:tabs>
        <w:jc w:val="both"/>
        <w:rPr>
          <w:rFonts w:cs="Arial"/>
          <w:sz w:val="16"/>
          <w:szCs w:val="16"/>
        </w:rPr>
      </w:pPr>
      <w:r w:rsidRPr="008270B7">
        <w:rPr>
          <w:rFonts w:cs="Arial"/>
          <w:sz w:val="16"/>
          <w:szCs w:val="16"/>
        </w:rPr>
        <w:t>3.2.2. Condiciones Generales. Las pólizas de seguro de invalidez y sobrevivientes deben ajustarse a los siguientes parámetros:</w:t>
      </w:r>
    </w:p>
    <w:p w14:paraId="64AC4DDE" w14:textId="77777777" w:rsidR="009B06EA" w:rsidRPr="008270B7" w:rsidRDefault="009B06EA" w:rsidP="008270B7">
      <w:pPr>
        <w:tabs>
          <w:tab w:val="left" w:pos="720"/>
        </w:tabs>
        <w:jc w:val="both"/>
        <w:rPr>
          <w:rFonts w:cs="Arial"/>
          <w:sz w:val="16"/>
          <w:szCs w:val="16"/>
        </w:rPr>
      </w:pPr>
    </w:p>
    <w:p w14:paraId="41342D24" w14:textId="77777777" w:rsidR="009B06EA" w:rsidRPr="008270B7" w:rsidRDefault="009B06EA" w:rsidP="008270B7">
      <w:pPr>
        <w:tabs>
          <w:tab w:val="left" w:pos="720"/>
        </w:tabs>
        <w:jc w:val="both"/>
        <w:rPr>
          <w:rFonts w:cs="Arial"/>
          <w:sz w:val="16"/>
          <w:szCs w:val="16"/>
        </w:rPr>
      </w:pPr>
    </w:p>
    <w:p w14:paraId="5125DF7F" w14:textId="77777777" w:rsidR="009B06EA" w:rsidRPr="008270B7" w:rsidRDefault="009B06EA" w:rsidP="008270B7">
      <w:pPr>
        <w:tabs>
          <w:tab w:val="left" w:pos="720"/>
        </w:tabs>
        <w:jc w:val="both"/>
        <w:rPr>
          <w:rFonts w:cs="Arial"/>
          <w:sz w:val="16"/>
          <w:szCs w:val="16"/>
        </w:rPr>
        <w:sectPr w:rsidR="009B06EA" w:rsidRPr="008270B7" w:rsidSect="009B06EA">
          <w:headerReference w:type="first" r:id="rId77"/>
          <w:footerReference w:type="first" r:id="rId78"/>
          <w:pgSz w:w="12240" w:h="18720" w:code="257"/>
          <w:pgMar w:top="1417" w:right="1701" w:bottom="1417" w:left="1701" w:header="709" w:footer="865" w:gutter="0"/>
          <w:pgNumType w:start="20"/>
          <w:cols w:space="708"/>
          <w:titlePg/>
          <w:docGrid w:linePitch="360"/>
        </w:sectPr>
      </w:pPr>
    </w:p>
    <w:p w14:paraId="5297B4FC" w14:textId="77777777" w:rsidR="00E0324E" w:rsidRPr="008270B7" w:rsidRDefault="00E0324E" w:rsidP="008270B7">
      <w:pPr>
        <w:tabs>
          <w:tab w:val="left" w:pos="720"/>
        </w:tabs>
        <w:jc w:val="both"/>
        <w:rPr>
          <w:rFonts w:cs="Arial"/>
          <w:sz w:val="16"/>
          <w:szCs w:val="16"/>
        </w:rPr>
      </w:pPr>
      <w:r w:rsidRPr="008270B7">
        <w:rPr>
          <w:rFonts w:cs="Arial"/>
          <w:sz w:val="16"/>
          <w:szCs w:val="16"/>
        </w:rPr>
        <w:lastRenderedPageBreak/>
        <w:t>3.2.2.1. Amparo: Mediante las pólizas de seguro de invalidez y sobrevivientes que contraten las sociedades que administren fondos de pensiones, la entidad aseguradora debe otorgar cobertura automática a las personas afiliadas a la administradora y asegurar el pago de las sumas adicionales que sean necesarias para completar el capital que financie el monto de la pensión, originadas por la declaración de invalidez que emitan las entidades a que se refiere el art. 142 del Decreto 019 de 2012 o el cubrimiento de los aportes adicionales para afiliados no pensionados que generen pensiones de sobrevivientes, en los términos de lo dispuesto en la Ley 100 de 1993, en cuanto a los requisitos para obtener la pensión de invalidez y sobreviviente.</w:t>
      </w:r>
    </w:p>
    <w:p w14:paraId="2107135F" w14:textId="77777777" w:rsidR="00E0324E" w:rsidRPr="008270B7" w:rsidRDefault="00E0324E" w:rsidP="008270B7">
      <w:pPr>
        <w:pStyle w:val="Sangra2detindependiente"/>
        <w:tabs>
          <w:tab w:val="left" w:pos="720"/>
        </w:tabs>
        <w:ind w:left="0"/>
        <w:rPr>
          <w:rFonts w:cs="Arial"/>
          <w:sz w:val="16"/>
          <w:szCs w:val="16"/>
        </w:rPr>
      </w:pPr>
    </w:p>
    <w:p w14:paraId="277EE59A" w14:textId="77777777" w:rsidR="00E0324E" w:rsidRPr="008270B7" w:rsidRDefault="00E0324E" w:rsidP="008270B7">
      <w:pPr>
        <w:widowControl w:val="0"/>
        <w:autoSpaceDE w:val="0"/>
        <w:autoSpaceDN w:val="0"/>
        <w:adjustRightInd w:val="0"/>
        <w:jc w:val="both"/>
        <w:rPr>
          <w:rFonts w:cs="Arial"/>
          <w:sz w:val="16"/>
          <w:szCs w:val="16"/>
        </w:rPr>
      </w:pPr>
      <w:r w:rsidRPr="008270B7">
        <w:rPr>
          <w:rFonts w:cs="Arial"/>
          <w:sz w:val="16"/>
          <w:szCs w:val="16"/>
        </w:rPr>
        <w:t>3.2.2.2. Auxilio funerario: La aseguradora debe reembolsar a la administradora, el valor que ésta haya pagado a la persona que demuestre haber sufragado los gastos de entierro del afiliado, por concepto de auxilio funerario, el cual es equivalente al último salario base de cotización, siempre que no sea inferior a 5 SMMLV, ni superior a 10 veces dicho salario.</w:t>
      </w:r>
    </w:p>
    <w:p w14:paraId="4A3B005D" w14:textId="77777777" w:rsidR="00BE660C" w:rsidRPr="008270B7" w:rsidRDefault="00BE660C" w:rsidP="008270B7">
      <w:pPr>
        <w:widowControl w:val="0"/>
        <w:autoSpaceDE w:val="0"/>
        <w:autoSpaceDN w:val="0"/>
        <w:adjustRightInd w:val="0"/>
        <w:jc w:val="both"/>
        <w:rPr>
          <w:rFonts w:cs="Arial"/>
          <w:sz w:val="16"/>
          <w:szCs w:val="16"/>
        </w:rPr>
      </w:pPr>
    </w:p>
    <w:p w14:paraId="5489CB32" w14:textId="77777777" w:rsidR="00B10D26" w:rsidRPr="008270B7" w:rsidRDefault="00B10D26" w:rsidP="008270B7">
      <w:pPr>
        <w:tabs>
          <w:tab w:val="left" w:pos="720"/>
        </w:tabs>
        <w:jc w:val="both"/>
        <w:rPr>
          <w:rFonts w:cs="Arial"/>
          <w:sz w:val="16"/>
          <w:szCs w:val="16"/>
        </w:rPr>
      </w:pPr>
      <w:r w:rsidRPr="008270B7">
        <w:rPr>
          <w:rFonts w:cs="Arial"/>
          <w:sz w:val="16"/>
          <w:szCs w:val="16"/>
        </w:rPr>
        <w:t>3.2.2.3. Exclusiones: La entidad aseguradora puede excluir su responsabilidad solamente en los siguientes eventos:</w:t>
      </w:r>
    </w:p>
    <w:p w14:paraId="45452E15" w14:textId="77777777" w:rsidR="00B10D26" w:rsidRPr="008270B7" w:rsidRDefault="00B10D26" w:rsidP="008270B7">
      <w:pPr>
        <w:tabs>
          <w:tab w:val="left" w:pos="720"/>
        </w:tabs>
        <w:jc w:val="both"/>
        <w:rPr>
          <w:rFonts w:cs="Arial"/>
          <w:sz w:val="16"/>
          <w:szCs w:val="16"/>
        </w:rPr>
      </w:pPr>
    </w:p>
    <w:p w14:paraId="0A05AB35"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3.2.2.3.1. Participación del afiliado en guerra civil o internacional declarada o no, motines, rebelión, sedición, asonada y actos terroristas, suspensión de hecho de labores, movimientos subversivos o conmociones populares de cualquier clase.</w:t>
      </w:r>
    </w:p>
    <w:p w14:paraId="1685BFFC" w14:textId="77777777" w:rsidR="00B10D26" w:rsidRPr="008270B7" w:rsidRDefault="00B10D26" w:rsidP="008270B7">
      <w:pPr>
        <w:tabs>
          <w:tab w:val="left" w:pos="720"/>
        </w:tabs>
        <w:jc w:val="both"/>
        <w:rPr>
          <w:rFonts w:cs="Arial"/>
          <w:sz w:val="16"/>
          <w:szCs w:val="16"/>
        </w:rPr>
      </w:pPr>
    </w:p>
    <w:p w14:paraId="2422F513" w14:textId="77777777" w:rsidR="00B10D26" w:rsidRPr="008270B7" w:rsidRDefault="00B10D26" w:rsidP="008270B7">
      <w:pPr>
        <w:tabs>
          <w:tab w:val="left" w:pos="720"/>
        </w:tabs>
        <w:jc w:val="both"/>
        <w:rPr>
          <w:rFonts w:cs="Arial"/>
          <w:sz w:val="16"/>
          <w:szCs w:val="16"/>
        </w:rPr>
      </w:pPr>
      <w:r w:rsidRPr="008270B7">
        <w:rPr>
          <w:rFonts w:cs="Arial"/>
          <w:sz w:val="16"/>
          <w:szCs w:val="16"/>
        </w:rPr>
        <w:t>3.2.2.3.2. Fisión o fusión nuclear o contaminación radiactiva derivada o producida con motivo de hostilidades.</w:t>
      </w:r>
    </w:p>
    <w:p w14:paraId="6C209B2A" w14:textId="77777777" w:rsidR="00B10D26" w:rsidRPr="008270B7" w:rsidRDefault="00B10D26" w:rsidP="008270B7">
      <w:pPr>
        <w:pStyle w:val="Textoindependiente21"/>
        <w:tabs>
          <w:tab w:val="clear" w:pos="851"/>
          <w:tab w:val="left" w:pos="720"/>
        </w:tabs>
        <w:rPr>
          <w:rFonts w:cs="Arial"/>
          <w:sz w:val="16"/>
          <w:szCs w:val="16"/>
          <w:lang w:val="es-ES"/>
        </w:rPr>
      </w:pPr>
    </w:p>
    <w:p w14:paraId="39ED7C1D" w14:textId="77777777" w:rsidR="00B10D26" w:rsidRPr="008270B7" w:rsidRDefault="00B10D26" w:rsidP="008270B7">
      <w:pPr>
        <w:tabs>
          <w:tab w:val="left" w:pos="720"/>
        </w:tabs>
        <w:jc w:val="both"/>
        <w:rPr>
          <w:rFonts w:cs="Arial"/>
          <w:sz w:val="16"/>
          <w:szCs w:val="16"/>
        </w:rPr>
      </w:pPr>
      <w:r w:rsidRPr="008270B7">
        <w:rPr>
          <w:rFonts w:cs="Arial"/>
          <w:sz w:val="16"/>
          <w:szCs w:val="16"/>
        </w:rPr>
        <w:t>3.2.2.3.3. Invalidez provocada intencionalmente.</w:t>
      </w:r>
    </w:p>
    <w:p w14:paraId="66BF4710" w14:textId="77777777" w:rsidR="00B10D26" w:rsidRPr="008270B7" w:rsidRDefault="00B10D26" w:rsidP="008270B7">
      <w:pPr>
        <w:pStyle w:val="Textoindependiente21"/>
        <w:tabs>
          <w:tab w:val="clear" w:pos="851"/>
          <w:tab w:val="left" w:pos="720"/>
        </w:tabs>
        <w:rPr>
          <w:rFonts w:cs="Arial"/>
          <w:sz w:val="16"/>
          <w:szCs w:val="16"/>
          <w:lang w:val="es-ES"/>
        </w:rPr>
      </w:pPr>
    </w:p>
    <w:p w14:paraId="53162B8B" w14:textId="77777777" w:rsidR="00B10D26" w:rsidRPr="008270B7" w:rsidRDefault="00B10D26" w:rsidP="008270B7">
      <w:pPr>
        <w:tabs>
          <w:tab w:val="left" w:pos="720"/>
        </w:tabs>
        <w:jc w:val="both"/>
        <w:rPr>
          <w:rFonts w:cs="Arial"/>
          <w:sz w:val="16"/>
          <w:szCs w:val="16"/>
        </w:rPr>
      </w:pPr>
      <w:r w:rsidRPr="008270B7">
        <w:rPr>
          <w:rFonts w:cs="Arial"/>
          <w:sz w:val="16"/>
          <w:szCs w:val="16"/>
        </w:rPr>
        <w:t>3.2.2.3.4. Invalidez o muerte originadas en accidente de trabajo o enfermedad laboral, pues no constituyen objeto de cobertura bajo este seguro.</w:t>
      </w:r>
    </w:p>
    <w:p w14:paraId="14916192" w14:textId="77777777" w:rsidR="00B10D26" w:rsidRPr="008270B7" w:rsidRDefault="00B10D26" w:rsidP="008270B7">
      <w:pPr>
        <w:tabs>
          <w:tab w:val="left" w:pos="720"/>
        </w:tabs>
        <w:jc w:val="both"/>
        <w:rPr>
          <w:rFonts w:cs="Arial"/>
          <w:sz w:val="16"/>
          <w:szCs w:val="16"/>
        </w:rPr>
      </w:pPr>
    </w:p>
    <w:p w14:paraId="2858CAFF" w14:textId="77777777" w:rsidR="00B10D26" w:rsidRPr="008270B7" w:rsidRDefault="00B10D26" w:rsidP="008270B7">
      <w:pPr>
        <w:tabs>
          <w:tab w:val="left" w:pos="720"/>
        </w:tabs>
        <w:jc w:val="both"/>
        <w:rPr>
          <w:rFonts w:cs="Arial"/>
          <w:sz w:val="16"/>
          <w:szCs w:val="16"/>
        </w:rPr>
      </w:pPr>
      <w:r w:rsidRPr="008270B7">
        <w:rPr>
          <w:rFonts w:cs="Arial"/>
          <w:sz w:val="16"/>
          <w:szCs w:val="16"/>
        </w:rPr>
        <w:t>3.2.2.4. Definiciones</w:t>
      </w:r>
    </w:p>
    <w:p w14:paraId="717071E0" w14:textId="77777777" w:rsidR="00B10D26" w:rsidRPr="008270B7" w:rsidRDefault="00B10D26" w:rsidP="008270B7">
      <w:pPr>
        <w:tabs>
          <w:tab w:val="left" w:pos="720"/>
        </w:tabs>
        <w:jc w:val="both"/>
        <w:rPr>
          <w:rFonts w:cs="Arial"/>
          <w:sz w:val="16"/>
          <w:szCs w:val="16"/>
        </w:rPr>
      </w:pPr>
    </w:p>
    <w:p w14:paraId="01CD8508" w14:textId="77777777" w:rsidR="00B10D26" w:rsidRPr="008270B7" w:rsidRDefault="00B10D26" w:rsidP="008270B7">
      <w:pPr>
        <w:tabs>
          <w:tab w:val="left" w:pos="720"/>
        </w:tabs>
        <w:jc w:val="both"/>
        <w:rPr>
          <w:rFonts w:cs="Arial"/>
          <w:sz w:val="16"/>
          <w:szCs w:val="16"/>
        </w:rPr>
      </w:pPr>
      <w:r w:rsidRPr="008270B7">
        <w:rPr>
          <w:rFonts w:cs="Arial"/>
          <w:sz w:val="16"/>
          <w:szCs w:val="16"/>
        </w:rPr>
        <w:t>3.2.2.4.1. Tomador: La sociedad que administra fondos de pensiones que contrata el seguro de invalidez y de sobrevivientes.</w:t>
      </w:r>
    </w:p>
    <w:p w14:paraId="447531B0" w14:textId="77777777" w:rsidR="00B10D26" w:rsidRPr="008270B7" w:rsidRDefault="00B10D26" w:rsidP="008270B7">
      <w:pPr>
        <w:tabs>
          <w:tab w:val="num" w:pos="0"/>
          <w:tab w:val="left" w:pos="720"/>
        </w:tabs>
        <w:jc w:val="both"/>
        <w:rPr>
          <w:rFonts w:cs="Arial"/>
          <w:sz w:val="16"/>
          <w:szCs w:val="16"/>
        </w:rPr>
      </w:pPr>
    </w:p>
    <w:p w14:paraId="5F00061A" w14:textId="77777777" w:rsidR="00B10D26" w:rsidRPr="008270B7" w:rsidRDefault="00B10D26" w:rsidP="008270B7">
      <w:pPr>
        <w:tabs>
          <w:tab w:val="left" w:pos="720"/>
        </w:tabs>
        <w:jc w:val="both"/>
        <w:rPr>
          <w:rFonts w:cs="Arial"/>
          <w:sz w:val="16"/>
          <w:szCs w:val="16"/>
        </w:rPr>
      </w:pPr>
      <w:r w:rsidRPr="008270B7">
        <w:rPr>
          <w:rFonts w:cs="Arial"/>
          <w:sz w:val="16"/>
          <w:szCs w:val="16"/>
        </w:rPr>
        <w:t>3.2.2.4.2. Asegurado: La persona incorporada al Sistema General de Pensiones –SGP- en los términos del art. 15 de la Ley 100 de 1993, y las normas que lo reglamentan, mediante su afiliación a la sociedad que administra el fondo de pensiones.</w:t>
      </w:r>
    </w:p>
    <w:p w14:paraId="1EF70A22" w14:textId="77777777" w:rsidR="00B10D26" w:rsidRPr="008270B7" w:rsidRDefault="00B10D26" w:rsidP="008270B7">
      <w:pPr>
        <w:tabs>
          <w:tab w:val="num" w:pos="0"/>
          <w:tab w:val="left" w:pos="720"/>
        </w:tabs>
        <w:jc w:val="both"/>
        <w:rPr>
          <w:rFonts w:cs="Arial"/>
          <w:sz w:val="16"/>
          <w:szCs w:val="16"/>
        </w:rPr>
      </w:pPr>
    </w:p>
    <w:p w14:paraId="064C8968" w14:textId="77777777" w:rsidR="00B10D26" w:rsidRPr="008270B7" w:rsidRDefault="00B10D26" w:rsidP="008270B7">
      <w:pPr>
        <w:tabs>
          <w:tab w:val="left" w:pos="720"/>
        </w:tabs>
        <w:jc w:val="both"/>
        <w:rPr>
          <w:rFonts w:cs="Arial"/>
          <w:sz w:val="16"/>
          <w:szCs w:val="16"/>
        </w:rPr>
      </w:pPr>
      <w:r w:rsidRPr="008270B7">
        <w:rPr>
          <w:rFonts w:cs="Arial"/>
          <w:sz w:val="16"/>
          <w:szCs w:val="16"/>
        </w:rPr>
        <w:t>3.2.2.4.3. Inválido: El afiliado declarado como tal conforme al art. 38 de la Ley 100 de 1993 y las normas que lo reglamenten, por las entidades a que se refiere el art. 142 del Decreto 019 de 2012.</w:t>
      </w:r>
    </w:p>
    <w:p w14:paraId="41400019" w14:textId="77777777" w:rsidR="00B10D26" w:rsidRPr="008270B7" w:rsidRDefault="00B10D26" w:rsidP="008270B7">
      <w:pPr>
        <w:tabs>
          <w:tab w:val="num" w:pos="0"/>
          <w:tab w:val="left" w:pos="720"/>
        </w:tabs>
        <w:jc w:val="both"/>
        <w:rPr>
          <w:rFonts w:cs="Arial"/>
          <w:sz w:val="16"/>
          <w:szCs w:val="16"/>
        </w:rPr>
      </w:pPr>
    </w:p>
    <w:p w14:paraId="4F508417" w14:textId="77777777" w:rsidR="00B10D26" w:rsidRPr="008270B7" w:rsidRDefault="00B10D26" w:rsidP="008270B7">
      <w:pPr>
        <w:tabs>
          <w:tab w:val="left" w:pos="720"/>
        </w:tabs>
        <w:jc w:val="both"/>
        <w:rPr>
          <w:rFonts w:cs="Arial"/>
          <w:sz w:val="16"/>
          <w:szCs w:val="16"/>
        </w:rPr>
      </w:pPr>
      <w:r w:rsidRPr="008270B7">
        <w:rPr>
          <w:rFonts w:cs="Arial"/>
          <w:sz w:val="16"/>
          <w:szCs w:val="16"/>
        </w:rPr>
        <w:t>3.2.2.4.4. Capital necesario: El definido en los arts. 70 y 77 de la Ley 100 de 1993 y las normas que lo reglamenten.</w:t>
      </w:r>
    </w:p>
    <w:p w14:paraId="5EE84B5B" w14:textId="77777777" w:rsidR="00B10D26" w:rsidRPr="008270B7" w:rsidRDefault="00B10D26" w:rsidP="008270B7">
      <w:pPr>
        <w:tabs>
          <w:tab w:val="num" w:pos="0"/>
          <w:tab w:val="left" w:pos="720"/>
        </w:tabs>
        <w:jc w:val="both"/>
        <w:rPr>
          <w:rFonts w:cs="Arial"/>
          <w:sz w:val="16"/>
          <w:szCs w:val="16"/>
        </w:rPr>
      </w:pPr>
    </w:p>
    <w:p w14:paraId="109FDC92" w14:textId="77777777" w:rsidR="00B10D26" w:rsidRPr="008270B7" w:rsidRDefault="00B10D26" w:rsidP="008270B7">
      <w:pPr>
        <w:tabs>
          <w:tab w:val="left" w:pos="720"/>
        </w:tabs>
        <w:jc w:val="both"/>
        <w:rPr>
          <w:rFonts w:cs="Arial"/>
          <w:sz w:val="16"/>
          <w:szCs w:val="16"/>
        </w:rPr>
      </w:pPr>
      <w:r w:rsidRPr="008270B7">
        <w:rPr>
          <w:rFonts w:cs="Arial"/>
          <w:sz w:val="16"/>
          <w:szCs w:val="16"/>
        </w:rPr>
        <w:t>3.2.2.4.5. Aporte adicional: El definido en los arts. 70 y 77 de la Ley 100 de 1993 y las normas que lo reglamenten.</w:t>
      </w:r>
    </w:p>
    <w:p w14:paraId="5FDD7FD7" w14:textId="77777777" w:rsidR="00B10D26" w:rsidRPr="008270B7" w:rsidRDefault="00B10D26" w:rsidP="008270B7">
      <w:pPr>
        <w:tabs>
          <w:tab w:val="num" w:pos="0"/>
          <w:tab w:val="left" w:pos="720"/>
        </w:tabs>
        <w:jc w:val="both"/>
        <w:rPr>
          <w:rFonts w:cs="Arial"/>
          <w:sz w:val="16"/>
          <w:szCs w:val="16"/>
        </w:rPr>
      </w:pPr>
    </w:p>
    <w:p w14:paraId="4F7E3ACA" w14:textId="77777777" w:rsidR="00B10D26" w:rsidRPr="008270B7" w:rsidRDefault="00B10D26" w:rsidP="008270B7">
      <w:pPr>
        <w:tabs>
          <w:tab w:val="num" w:pos="0"/>
          <w:tab w:val="left" w:pos="720"/>
        </w:tabs>
        <w:jc w:val="both"/>
        <w:rPr>
          <w:rFonts w:cs="Arial"/>
          <w:sz w:val="16"/>
          <w:szCs w:val="16"/>
        </w:rPr>
      </w:pPr>
      <w:r w:rsidRPr="008270B7">
        <w:rPr>
          <w:rFonts w:cs="Arial"/>
          <w:sz w:val="16"/>
          <w:szCs w:val="16"/>
        </w:rPr>
        <w:t>3.2.2.5. Valores asegurados. El seguro debe ser suficiente para cubrir íntegramente los siguientes beneficios:</w:t>
      </w:r>
    </w:p>
    <w:p w14:paraId="38A22F80" w14:textId="77777777" w:rsidR="00B10D26" w:rsidRPr="008270B7" w:rsidRDefault="00B10D26" w:rsidP="008270B7">
      <w:pPr>
        <w:tabs>
          <w:tab w:val="num" w:pos="0"/>
          <w:tab w:val="left" w:pos="720"/>
        </w:tabs>
        <w:jc w:val="both"/>
        <w:rPr>
          <w:rFonts w:cs="Arial"/>
          <w:sz w:val="16"/>
          <w:szCs w:val="16"/>
        </w:rPr>
      </w:pPr>
    </w:p>
    <w:p w14:paraId="41050C5B"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 xml:space="preserve">3.2.3.5.1. Los aportes adicionales necesarios que correspondan a los afiliados declarados inválidos por las entidades correspondientes a que se </w:t>
      </w:r>
      <w:r w:rsidRPr="008270B7">
        <w:rPr>
          <w:rFonts w:cs="Arial"/>
          <w:sz w:val="16"/>
          <w:szCs w:val="16"/>
        </w:rPr>
        <w:t>refiere el art. 142 del Decreto 019 de 2012</w:t>
      </w:r>
      <w:r w:rsidRPr="008270B7">
        <w:rPr>
          <w:rFonts w:cs="Arial"/>
          <w:sz w:val="16"/>
          <w:szCs w:val="16"/>
          <w:lang w:val="es-ES"/>
        </w:rPr>
        <w:t>.</w:t>
      </w:r>
    </w:p>
    <w:p w14:paraId="79B7C424" w14:textId="77777777" w:rsidR="00B10D26" w:rsidRPr="008270B7" w:rsidRDefault="00B10D26" w:rsidP="008270B7">
      <w:pPr>
        <w:tabs>
          <w:tab w:val="num" w:pos="0"/>
          <w:tab w:val="left" w:pos="720"/>
        </w:tabs>
        <w:jc w:val="both"/>
        <w:rPr>
          <w:rFonts w:cs="Arial"/>
          <w:sz w:val="16"/>
          <w:szCs w:val="16"/>
        </w:rPr>
      </w:pPr>
    </w:p>
    <w:p w14:paraId="19EC850D"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3.2.3.5.2. Los aportes adicionales necesarios que deben abonarse en las cuentas para afiliados a la administradora no pensionados, que generen pensiones de sobrevivientes.</w:t>
      </w:r>
    </w:p>
    <w:p w14:paraId="21B913D3" w14:textId="77777777" w:rsidR="00B10D26" w:rsidRPr="008270B7" w:rsidRDefault="00B10D26" w:rsidP="008270B7">
      <w:pPr>
        <w:tabs>
          <w:tab w:val="num" w:pos="0"/>
          <w:tab w:val="left" w:pos="720"/>
        </w:tabs>
        <w:jc w:val="both"/>
        <w:rPr>
          <w:rFonts w:cs="Arial"/>
          <w:sz w:val="16"/>
          <w:szCs w:val="16"/>
        </w:rPr>
      </w:pPr>
    </w:p>
    <w:p w14:paraId="543A3FCC"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3.2.3.5.3. El auxilio funerario del afiliado.</w:t>
      </w:r>
    </w:p>
    <w:p w14:paraId="59AE4D26" w14:textId="77777777" w:rsidR="00B10D26" w:rsidRPr="008270B7" w:rsidRDefault="00B10D26" w:rsidP="008270B7">
      <w:pPr>
        <w:pStyle w:val="Textoindependiente21"/>
        <w:tabs>
          <w:tab w:val="clear" w:pos="851"/>
          <w:tab w:val="left" w:pos="720"/>
        </w:tabs>
        <w:rPr>
          <w:rFonts w:cs="Arial"/>
          <w:sz w:val="16"/>
          <w:szCs w:val="16"/>
          <w:lang w:val="es-ES"/>
        </w:rPr>
      </w:pPr>
    </w:p>
    <w:p w14:paraId="0ED2950E" w14:textId="77777777" w:rsidR="00B10D26" w:rsidRPr="008270B7" w:rsidRDefault="00B10D26" w:rsidP="008270B7">
      <w:pPr>
        <w:tabs>
          <w:tab w:val="left" w:pos="720"/>
        </w:tabs>
        <w:jc w:val="both"/>
        <w:rPr>
          <w:rFonts w:cs="Arial"/>
          <w:sz w:val="16"/>
          <w:szCs w:val="16"/>
        </w:rPr>
      </w:pPr>
      <w:r w:rsidRPr="008270B7">
        <w:rPr>
          <w:rFonts w:cs="Arial"/>
          <w:sz w:val="16"/>
          <w:szCs w:val="16"/>
        </w:rPr>
        <w:t>3.2.2.6. Prima. La prima del seguro se determina de acuerdo con las tarifas que cumplan los requisitos que señala el numeral 3 del art. 184 del EOSF y con sujeción a las bases técnicas que señale la SFC en relación con las tablas de mortalidad e invalidez, en los términos del Decreto 656 de 1994. Siempre que la entidad aseguradora modifique la tarifa de una póliza debe informar de ello a la SFC anexando la nueva nota técnica con los soportes estadísticos que justifiquen el cambio.</w:t>
      </w:r>
    </w:p>
    <w:p w14:paraId="3FAD034B" w14:textId="77777777" w:rsidR="00B10D26" w:rsidRPr="008270B7" w:rsidRDefault="00B10D26" w:rsidP="008270B7">
      <w:pPr>
        <w:tabs>
          <w:tab w:val="left" w:pos="720"/>
        </w:tabs>
        <w:jc w:val="both"/>
        <w:rPr>
          <w:rFonts w:cs="Arial"/>
          <w:sz w:val="16"/>
          <w:szCs w:val="16"/>
        </w:rPr>
      </w:pPr>
    </w:p>
    <w:p w14:paraId="6B64197A" w14:textId="77777777" w:rsidR="00B10D26" w:rsidRPr="008270B7" w:rsidRDefault="00B10D26" w:rsidP="008270B7">
      <w:pPr>
        <w:tabs>
          <w:tab w:val="left" w:pos="720"/>
        </w:tabs>
        <w:jc w:val="both"/>
        <w:rPr>
          <w:rFonts w:cs="Arial"/>
          <w:sz w:val="16"/>
          <w:szCs w:val="16"/>
        </w:rPr>
      </w:pPr>
      <w:r w:rsidRPr="008270B7">
        <w:rPr>
          <w:rFonts w:cs="Arial"/>
          <w:sz w:val="16"/>
          <w:szCs w:val="16"/>
        </w:rPr>
        <w:t>3.2.2.7. Pago de la prima. El pago de la prima, que corresponde a la administradora, se debe hacer en la forma que acuerden las partes.</w:t>
      </w:r>
    </w:p>
    <w:p w14:paraId="7A32573A" w14:textId="77777777" w:rsidR="00B10D26" w:rsidRPr="008270B7" w:rsidRDefault="00B10D26" w:rsidP="008270B7">
      <w:pPr>
        <w:tabs>
          <w:tab w:val="left" w:pos="720"/>
        </w:tabs>
        <w:jc w:val="both"/>
        <w:rPr>
          <w:rFonts w:cs="Arial"/>
          <w:sz w:val="16"/>
          <w:szCs w:val="16"/>
        </w:rPr>
      </w:pPr>
    </w:p>
    <w:p w14:paraId="78493A49" w14:textId="77777777" w:rsidR="00B10D26" w:rsidRPr="008270B7" w:rsidRDefault="00B10D26" w:rsidP="008270B7">
      <w:pPr>
        <w:tabs>
          <w:tab w:val="left" w:pos="720"/>
        </w:tabs>
        <w:jc w:val="both"/>
        <w:rPr>
          <w:rFonts w:cs="Arial"/>
          <w:sz w:val="16"/>
          <w:szCs w:val="16"/>
        </w:rPr>
      </w:pPr>
      <w:r w:rsidRPr="008270B7">
        <w:rPr>
          <w:rFonts w:cs="Arial"/>
          <w:sz w:val="16"/>
          <w:szCs w:val="16"/>
        </w:rPr>
        <w:t>3.2.2.8. Siniestros. Se entiende ocurrido el siniestro al fallecimiento o al momento en que acaezca el hecho que origine la invalidez de un afiliado. No obstante, en este último caso, el asegurador solo está obligado al pago a la declaración en firme de la invalidez.</w:t>
      </w:r>
    </w:p>
    <w:p w14:paraId="2C4E0A37" w14:textId="77777777" w:rsidR="00B10D26" w:rsidRPr="008270B7" w:rsidRDefault="00B10D26" w:rsidP="008270B7">
      <w:pPr>
        <w:tabs>
          <w:tab w:val="left" w:pos="720"/>
        </w:tabs>
        <w:jc w:val="both"/>
        <w:rPr>
          <w:rFonts w:cs="Arial"/>
          <w:sz w:val="16"/>
          <w:szCs w:val="16"/>
        </w:rPr>
      </w:pPr>
    </w:p>
    <w:p w14:paraId="48EAB805" w14:textId="77777777" w:rsidR="00B10D26" w:rsidRPr="008270B7" w:rsidRDefault="00B10D26" w:rsidP="008270B7">
      <w:pPr>
        <w:pStyle w:val="Textoindependiente2"/>
        <w:tabs>
          <w:tab w:val="left" w:pos="720"/>
        </w:tabs>
        <w:ind w:right="51"/>
        <w:rPr>
          <w:rFonts w:cs="Arial"/>
          <w:b w:val="0"/>
          <w:sz w:val="16"/>
          <w:szCs w:val="16"/>
        </w:rPr>
      </w:pPr>
      <w:r w:rsidRPr="008270B7">
        <w:rPr>
          <w:rFonts w:cs="Arial"/>
          <w:b w:val="0"/>
          <w:sz w:val="16"/>
          <w:szCs w:val="16"/>
        </w:rPr>
        <w:t xml:space="preserve">La entidad aseguradora debe, en caso de declararse la invalidez o de producirse la muerte del afiliado, trasladar a la </w:t>
      </w:r>
      <w:r w:rsidR="00F72782" w:rsidRPr="008270B7">
        <w:rPr>
          <w:rFonts w:cs="Arial"/>
          <w:b w:val="0"/>
          <w:sz w:val="16"/>
          <w:szCs w:val="16"/>
        </w:rPr>
        <w:t>a</w:t>
      </w:r>
      <w:r w:rsidRPr="008270B7">
        <w:rPr>
          <w:rFonts w:cs="Arial"/>
          <w:b w:val="0"/>
          <w:sz w:val="16"/>
          <w:szCs w:val="16"/>
        </w:rPr>
        <w:t xml:space="preserve">dministradora </w:t>
      </w:r>
      <w:r w:rsidR="00F72782" w:rsidRPr="008270B7">
        <w:rPr>
          <w:rFonts w:cs="Arial"/>
          <w:b w:val="0"/>
          <w:sz w:val="16"/>
          <w:szCs w:val="16"/>
        </w:rPr>
        <w:t xml:space="preserve">de fondos de pensiones </w:t>
      </w:r>
      <w:r w:rsidRPr="008270B7">
        <w:rPr>
          <w:rFonts w:cs="Arial"/>
          <w:b w:val="0"/>
          <w:sz w:val="16"/>
          <w:szCs w:val="16"/>
        </w:rPr>
        <w:t>el aporte adicional que corresponda, dentro de los 2 días hábiles siguientes a aquel en que la administradora presente la reclamación en debida forma.</w:t>
      </w:r>
    </w:p>
    <w:p w14:paraId="6FA28210" w14:textId="77777777" w:rsidR="00B10D26" w:rsidRPr="008270B7" w:rsidRDefault="00B10D26" w:rsidP="008270B7">
      <w:pPr>
        <w:pStyle w:val="Piedepgina"/>
        <w:tabs>
          <w:tab w:val="clear" w:pos="8504"/>
          <w:tab w:val="left" w:pos="720"/>
          <w:tab w:val="right" w:pos="8789"/>
        </w:tabs>
        <w:jc w:val="both"/>
        <w:rPr>
          <w:rFonts w:cs="Arial"/>
          <w:sz w:val="16"/>
          <w:szCs w:val="16"/>
        </w:rPr>
      </w:pPr>
    </w:p>
    <w:p w14:paraId="48648F61"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La administradora </w:t>
      </w:r>
      <w:r w:rsidR="00F72782" w:rsidRPr="008270B7">
        <w:rPr>
          <w:rFonts w:cs="Arial"/>
          <w:sz w:val="16"/>
          <w:szCs w:val="16"/>
        </w:rPr>
        <w:t xml:space="preserve">de fondos de pensiones </w:t>
      </w:r>
      <w:r w:rsidRPr="008270B7">
        <w:rPr>
          <w:rFonts w:cs="Arial"/>
          <w:sz w:val="16"/>
          <w:szCs w:val="16"/>
        </w:rPr>
        <w:t xml:space="preserve">en su condición de </w:t>
      </w:r>
      <w:proofErr w:type="gramStart"/>
      <w:r w:rsidRPr="008270B7">
        <w:rPr>
          <w:rFonts w:cs="Arial"/>
          <w:sz w:val="16"/>
          <w:szCs w:val="16"/>
        </w:rPr>
        <w:t>tomador,</w:t>
      </w:r>
      <w:proofErr w:type="gramEnd"/>
      <w:r w:rsidRPr="008270B7">
        <w:rPr>
          <w:rFonts w:cs="Arial"/>
          <w:sz w:val="16"/>
          <w:szCs w:val="16"/>
        </w:rPr>
        <w:t xml:space="preserve"> debe informar a la aseguradora, dentro de los 2 días siguientes a la presentación de la solicitud de dictamen ante las instancias de que trata el art. 142 del Decreto 019 de 2012, el capital que a la fecha hubiere en la cuenta de </w:t>
      </w:r>
      <w:proofErr w:type="gramStart"/>
      <w:r w:rsidRPr="008270B7">
        <w:rPr>
          <w:rFonts w:cs="Arial"/>
          <w:sz w:val="16"/>
          <w:szCs w:val="16"/>
        </w:rPr>
        <w:t>ahorro pensional y el bono pensional</w:t>
      </w:r>
      <w:proofErr w:type="gramEnd"/>
      <w:r w:rsidRPr="008270B7">
        <w:rPr>
          <w:rFonts w:cs="Arial"/>
          <w:sz w:val="16"/>
          <w:szCs w:val="16"/>
        </w:rPr>
        <w:t xml:space="preserve"> a que tenga derecho el afiliado, si es el caso.</w:t>
      </w:r>
    </w:p>
    <w:p w14:paraId="54DD67E9" w14:textId="77777777" w:rsidR="00B10D26" w:rsidRPr="008270B7" w:rsidRDefault="00B10D26" w:rsidP="008270B7">
      <w:pPr>
        <w:tabs>
          <w:tab w:val="left" w:pos="720"/>
        </w:tabs>
        <w:jc w:val="both"/>
        <w:rPr>
          <w:rFonts w:cs="Arial"/>
          <w:sz w:val="16"/>
          <w:szCs w:val="16"/>
        </w:rPr>
      </w:pPr>
    </w:p>
    <w:p w14:paraId="4CE83028" w14:textId="77777777" w:rsidR="00B10D26" w:rsidRPr="008270B7" w:rsidRDefault="00B10D26" w:rsidP="008270B7">
      <w:pPr>
        <w:pStyle w:val="Ttulo2"/>
        <w:jc w:val="both"/>
        <w:rPr>
          <w:b w:val="0"/>
          <w:bCs w:val="0"/>
          <w:szCs w:val="16"/>
        </w:rPr>
      </w:pPr>
      <w:bookmarkStart w:id="16" w:name="_Toc269950168"/>
      <w:r w:rsidRPr="008270B7">
        <w:rPr>
          <w:b w:val="0"/>
          <w:bCs w:val="0"/>
          <w:szCs w:val="16"/>
        </w:rPr>
        <w:t>3.3. Reglas aplicables al ramo de seguro de pensiones Ley 100</w:t>
      </w:r>
      <w:bookmarkEnd w:id="16"/>
    </w:p>
    <w:p w14:paraId="028C588F" w14:textId="77777777" w:rsidR="00B10D26" w:rsidRPr="008270B7" w:rsidRDefault="00B10D26" w:rsidP="008270B7">
      <w:pPr>
        <w:tabs>
          <w:tab w:val="left" w:pos="720"/>
        </w:tabs>
        <w:jc w:val="both"/>
        <w:rPr>
          <w:rFonts w:cs="Arial"/>
          <w:sz w:val="16"/>
          <w:szCs w:val="16"/>
        </w:rPr>
      </w:pPr>
    </w:p>
    <w:p w14:paraId="5D2E1A3F" w14:textId="77777777" w:rsidR="00B10D26" w:rsidRPr="008270B7" w:rsidRDefault="00B10D26" w:rsidP="008270B7">
      <w:pPr>
        <w:tabs>
          <w:tab w:val="left" w:pos="720"/>
        </w:tabs>
        <w:adjustRightInd w:val="0"/>
        <w:jc w:val="both"/>
        <w:rPr>
          <w:rFonts w:cs="Arial"/>
          <w:sz w:val="16"/>
          <w:szCs w:val="16"/>
          <w:lang w:val="es-CO"/>
        </w:rPr>
      </w:pPr>
      <w:r w:rsidRPr="008270B7">
        <w:rPr>
          <w:rFonts w:cs="Arial"/>
          <w:sz w:val="16"/>
          <w:szCs w:val="16"/>
          <w:lang w:val="es-CO"/>
        </w:rPr>
        <w:t xml:space="preserve">3.3.1. Autorización de planes de pensiones por parte de la Superintendencia </w:t>
      </w:r>
    </w:p>
    <w:p w14:paraId="4CB1DAD9" w14:textId="77777777" w:rsidR="00B10D26" w:rsidRPr="008270B7" w:rsidRDefault="00B10D26" w:rsidP="008270B7">
      <w:pPr>
        <w:tabs>
          <w:tab w:val="left" w:pos="720"/>
        </w:tabs>
        <w:adjustRightInd w:val="0"/>
        <w:jc w:val="both"/>
        <w:rPr>
          <w:rFonts w:cs="Arial"/>
          <w:sz w:val="16"/>
          <w:szCs w:val="16"/>
          <w:lang w:val="es-CO"/>
        </w:rPr>
      </w:pPr>
    </w:p>
    <w:p w14:paraId="5E25A041" w14:textId="77777777" w:rsidR="00B10D26" w:rsidRPr="008270B7" w:rsidRDefault="00B10D26" w:rsidP="008270B7">
      <w:pPr>
        <w:tabs>
          <w:tab w:val="left" w:pos="720"/>
        </w:tabs>
        <w:adjustRightInd w:val="0"/>
        <w:jc w:val="both"/>
        <w:rPr>
          <w:rFonts w:cs="Arial"/>
          <w:sz w:val="16"/>
          <w:szCs w:val="16"/>
          <w:lang w:val="es-CO"/>
        </w:rPr>
      </w:pPr>
      <w:r w:rsidRPr="008270B7">
        <w:rPr>
          <w:rFonts w:cs="Arial"/>
          <w:sz w:val="16"/>
          <w:szCs w:val="16"/>
          <w:lang w:val="es-CO"/>
        </w:rPr>
        <w:t xml:space="preserve">De conformidad con lo previsto en el art. 95 de la Ley 100 de 1993 y sin perjuicio de lo establecido en el </w:t>
      </w:r>
      <w:proofErr w:type="spellStart"/>
      <w:r w:rsidRPr="008270B7">
        <w:rPr>
          <w:rFonts w:cs="Arial"/>
          <w:sz w:val="16"/>
          <w:szCs w:val="16"/>
          <w:lang w:val="es-CO"/>
        </w:rPr>
        <w:t>subnumeral</w:t>
      </w:r>
      <w:proofErr w:type="spellEnd"/>
      <w:r w:rsidRPr="008270B7">
        <w:rPr>
          <w:rFonts w:cs="Arial"/>
          <w:sz w:val="16"/>
          <w:szCs w:val="16"/>
          <w:lang w:val="es-CO"/>
        </w:rPr>
        <w:t xml:space="preserve"> 1.1 del presente </w:t>
      </w:r>
      <w:r w:rsidR="00F72782" w:rsidRPr="008270B7">
        <w:rPr>
          <w:rFonts w:cs="Arial"/>
          <w:sz w:val="16"/>
          <w:szCs w:val="16"/>
          <w:lang w:val="es-CO"/>
        </w:rPr>
        <w:t>C</w:t>
      </w:r>
      <w:r w:rsidRPr="008270B7">
        <w:rPr>
          <w:rFonts w:cs="Arial"/>
          <w:sz w:val="16"/>
          <w:szCs w:val="16"/>
          <w:lang w:val="es-CO"/>
        </w:rPr>
        <w:t xml:space="preserve">apítulo, todo plan de pensiones que se pretenda explotar a través del ramo de seguro de pensiones Ley 100, debe contar con autorización previa de la SFC.  </w:t>
      </w:r>
    </w:p>
    <w:p w14:paraId="6481CD41" w14:textId="77777777" w:rsidR="00B10D26" w:rsidRPr="008270B7" w:rsidRDefault="00B10D26" w:rsidP="008270B7">
      <w:pPr>
        <w:tabs>
          <w:tab w:val="left" w:pos="720"/>
        </w:tabs>
        <w:adjustRightInd w:val="0"/>
        <w:jc w:val="both"/>
        <w:rPr>
          <w:rFonts w:cs="Arial"/>
          <w:sz w:val="16"/>
          <w:szCs w:val="16"/>
          <w:lang w:val="es-CO"/>
        </w:rPr>
      </w:pPr>
    </w:p>
    <w:p w14:paraId="62AC292D" w14:textId="117A6BDD" w:rsidR="00162D3B" w:rsidRDefault="00B10D26" w:rsidP="008270B7">
      <w:pPr>
        <w:tabs>
          <w:tab w:val="left" w:pos="720"/>
        </w:tabs>
        <w:adjustRightInd w:val="0"/>
        <w:jc w:val="both"/>
        <w:rPr>
          <w:rFonts w:cs="Arial"/>
          <w:sz w:val="16"/>
          <w:szCs w:val="16"/>
          <w:lang w:val="es-CO"/>
        </w:rPr>
      </w:pPr>
      <w:r w:rsidRPr="008270B7">
        <w:rPr>
          <w:rFonts w:cs="Arial"/>
          <w:sz w:val="16"/>
          <w:szCs w:val="16"/>
          <w:lang w:val="es-CO"/>
        </w:rPr>
        <w:t xml:space="preserve">Para tal efecto, en todos los casos se debe remitir un ejemplar con las condiciones aplicables al plan de pensiones, así como la respectiva nota técnica, la cual debe cumplir con los requisitos establecidos en </w:t>
      </w:r>
      <w:r w:rsidR="002736F5" w:rsidRPr="008270B7">
        <w:rPr>
          <w:rFonts w:cs="Arial"/>
          <w:sz w:val="16"/>
          <w:szCs w:val="16"/>
          <w:lang w:val="es-CO"/>
        </w:rPr>
        <w:t>cuanto hace a los modelos de las pólizas, tarifas</w:t>
      </w:r>
      <w:r w:rsidR="00FA0FC1" w:rsidRPr="008270B7">
        <w:rPr>
          <w:rFonts w:cs="Arial"/>
          <w:sz w:val="16"/>
          <w:szCs w:val="16"/>
          <w:lang w:val="es-CO"/>
        </w:rPr>
        <w:t xml:space="preserve"> </w:t>
      </w:r>
      <w:r w:rsidR="002736F5" w:rsidRPr="008270B7">
        <w:rPr>
          <w:rFonts w:cs="Arial"/>
          <w:sz w:val="16"/>
          <w:szCs w:val="16"/>
          <w:lang w:val="es-CO"/>
        </w:rPr>
        <w:t>y notas técnicas</w:t>
      </w:r>
      <w:r w:rsidRPr="008270B7">
        <w:rPr>
          <w:rFonts w:cs="Arial"/>
          <w:sz w:val="16"/>
          <w:szCs w:val="16"/>
          <w:lang w:val="es-CO"/>
        </w:rPr>
        <w:t xml:space="preserve">. </w:t>
      </w:r>
    </w:p>
    <w:p w14:paraId="01B49924" w14:textId="6D5436A1" w:rsidR="00B10D26" w:rsidRPr="008270B7" w:rsidRDefault="00162D3B" w:rsidP="00162D3B">
      <w:pPr>
        <w:rPr>
          <w:rFonts w:cs="Arial"/>
          <w:sz w:val="16"/>
          <w:szCs w:val="16"/>
          <w:lang w:val="es-CO"/>
        </w:rPr>
      </w:pPr>
      <w:r>
        <w:rPr>
          <w:rFonts w:cs="Arial"/>
          <w:sz w:val="16"/>
          <w:szCs w:val="16"/>
          <w:lang w:val="es-CO"/>
        </w:rPr>
        <w:br w:type="page"/>
      </w:r>
    </w:p>
    <w:p w14:paraId="08639BE0" w14:textId="77777777" w:rsidR="00B10D26" w:rsidRDefault="00B10D26" w:rsidP="008270B7">
      <w:pPr>
        <w:tabs>
          <w:tab w:val="left" w:pos="720"/>
        </w:tabs>
        <w:adjustRightInd w:val="0"/>
        <w:jc w:val="both"/>
        <w:rPr>
          <w:rFonts w:cs="Arial"/>
          <w:sz w:val="16"/>
          <w:szCs w:val="16"/>
          <w:lang w:val="es-CO"/>
        </w:rPr>
      </w:pPr>
      <w:r w:rsidRPr="008270B7">
        <w:rPr>
          <w:rFonts w:cs="Arial"/>
          <w:sz w:val="16"/>
          <w:szCs w:val="16"/>
          <w:lang w:val="es-CO"/>
        </w:rPr>
        <w:lastRenderedPageBreak/>
        <w:t xml:space="preserve">Cuando se trate de un plan de pensiones relacionado con una modalidad de pensión distinta de las contempladas en la Ley 100 de 1993, previamente autorizada por la SFC, se deben acreditar los requisitos establecidos en el </w:t>
      </w:r>
      <w:proofErr w:type="spellStart"/>
      <w:r w:rsidRPr="008270B7">
        <w:rPr>
          <w:rFonts w:cs="Arial"/>
          <w:sz w:val="16"/>
          <w:szCs w:val="16"/>
          <w:lang w:val="es-CO"/>
        </w:rPr>
        <w:t>subnumeral</w:t>
      </w:r>
      <w:proofErr w:type="spellEnd"/>
      <w:r w:rsidRPr="008270B7">
        <w:rPr>
          <w:rFonts w:cs="Arial"/>
          <w:sz w:val="16"/>
          <w:szCs w:val="16"/>
          <w:lang w:val="es-CO"/>
        </w:rPr>
        <w:t xml:space="preserve"> </w:t>
      </w:r>
      <w:r w:rsidR="00831E85" w:rsidRPr="008270B7">
        <w:rPr>
          <w:rFonts w:cs="Arial"/>
          <w:sz w:val="16"/>
          <w:szCs w:val="16"/>
          <w:lang w:val="es-CO"/>
        </w:rPr>
        <w:t>4</w:t>
      </w:r>
      <w:r w:rsidR="00622816" w:rsidRPr="008270B7">
        <w:rPr>
          <w:rFonts w:cs="Arial"/>
          <w:sz w:val="16"/>
          <w:szCs w:val="16"/>
          <w:lang w:val="es-CO"/>
        </w:rPr>
        <w:t>.7.2</w:t>
      </w:r>
      <w:r w:rsidRPr="008270B7">
        <w:rPr>
          <w:rFonts w:cs="Arial"/>
          <w:sz w:val="16"/>
          <w:szCs w:val="16"/>
          <w:lang w:val="es-CO"/>
        </w:rPr>
        <w:t xml:space="preserve"> del Capítulo </w:t>
      </w:r>
      <w:r w:rsidR="008C2BF8" w:rsidRPr="008270B7">
        <w:rPr>
          <w:rFonts w:cs="Arial"/>
          <w:sz w:val="16"/>
          <w:szCs w:val="16"/>
          <w:lang w:val="es-CO"/>
        </w:rPr>
        <w:t>II, Título III de la Parte II</w:t>
      </w:r>
      <w:r w:rsidRPr="008270B7">
        <w:rPr>
          <w:rFonts w:cs="Arial"/>
          <w:sz w:val="16"/>
          <w:szCs w:val="16"/>
          <w:lang w:val="es-CO"/>
        </w:rPr>
        <w:t xml:space="preserve"> de esta Circular.</w:t>
      </w:r>
    </w:p>
    <w:p w14:paraId="43A0493E" w14:textId="77777777" w:rsidR="00162D3B" w:rsidRPr="008270B7" w:rsidRDefault="00162D3B" w:rsidP="008270B7">
      <w:pPr>
        <w:tabs>
          <w:tab w:val="left" w:pos="720"/>
        </w:tabs>
        <w:adjustRightInd w:val="0"/>
        <w:jc w:val="both"/>
        <w:rPr>
          <w:rFonts w:cs="Arial"/>
          <w:sz w:val="16"/>
          <w:szCs w:val="16"/>
          <w:lang w:val="es-CO"/>
        </w:rPr>
      </w:pPr>
    </w:p>
    <w:p w14:paraId="705F90C7" w14:textId="77777777" w:rsidR="00B10D26" w:rsidRPr="008270B7" w:rsidRDefault="00B10D26" w:rsidP="008270B7">
      <w:pPr>
        <w:tabs>
          <w:tab w:val="left" w:pos="720"/>
        </w:tabs>
        <w:adjustRightInd w:val="0"/>
        <w:jc w:val="both"/>
        <w:rPr>
          <w:rFonts w:cs="Arial"/>
          <w:sz w:val="16"/>
          <w:szCs w:val="16"/>
          <w:lang w:val="es-CO"/>
        </w:rPr>
      </w:pPr>
      <w:r w:rsidRPr="008270B7">
        <w:rPr>
          <w:rFonts w:cs="Arial"/>
          <w:sz w:val="16"/>
          <w:szCs w:val="16"/>
          <w:lang w:val="es-CO"/>
        </w:rPr>
        <w:t xml:space="preserve">De igual forma, cualquier modificación que se pretenda realizar a las condiciones establecidas en el plan de pensiones, sus anexos o a la nota técnica, se debe someter a autorización previa de la SFC. </w:t>
      </w:r>
    </w:p>
    <w:p w14:paraId="1D42202A" w14:textId="77777777" w:rsidR="00B10D26" w:rsidRPr="008270B7" w:rsidRDefault="00B10D26" w:rsidP="008270B7">
      <w:pPr>
        <w:tabs>
          <w:tab w:val="left" w:pos="720"/>
        </w:tabs>
        <w:adjustRightInd w:val="0"/>
        <w:jc w:val="both"/>
        <w:rPr>
          <w:rFonts w:cs="Arial"/>
          <w:sz w:val="16"/>
          <w:szCs w:val="16"/>
          <w:lang w:val="es-CO"/>
        </w:rPr>
      </w:pPr>
    </w:p>
    <w:p w14:paraId="0CD8BBF6" w14:textId="77777777" w:rsidR="00B10D26" w:rsidRPr="008270B7" w:rsidRDefault="00B10D26" w:rsidP="008270B7">
      <w:pPr>
        <w:tabs>
          <w:tab w:val="left" w:pos="720"/>
        </w:tabs>
        <w:adjustRightInd w:val="0"/>
        <w:jc w:val="both"/>
        <w:rPr>
          <w:rFonts w:cs="Arial"/>
          <w:sz w:val="16"/>
          <w:szCs w:val="16"/>
          <w:lang w:val="es-CO"/>
        </w:rPr>
      </w:pPr>
      <w:r w:rsidRPr="008270B7">
        <w:rPr>
          <w:rFonts w:cs="Arial"/>
          <w:sz w:val="16"/>
          <w:szCs w:val="16"/>
          <w:lang w:val="es-CO"/>
        </w:rPr>
        <w:t>La SFC en el ejercicio de sus facultades legales p</w:t>
      </w:r>
      <w:r w:rsidR="005F29C7" w:rsidRPr="008270B7">
        <w:rPr>
          <w:rFonts w:cs="Arial"/>
          <w:sz w:val="16"/>
          <w:szCs w:val="16"/>
          <w:lang w:val="es-CO"/>
        </w:rPr>
        <w:t>uede</w:t>
      </w:r>
      <w:r w:rsidRPr="008270B7">
        <w:rPr>
          <w:rFonts w:cs="Arial"/>
          <w:sz w:val="16"/>
          <w:szCs w:val="16"/>
          <w:lang w:val="es-CO"/>
        </w:rPr>
        <w:t xml:space="preserve"> suspender la autorización del plan de pensiones respectivo en el evento en que la aseguradora decida no cotizar dichos planes de pensiones durante un tiempo igual o superior a 6 meses. </w:t>
      </w:r>
    </w:p>
    <w:p w14:paraId="71AF7187" w14:textId="77777777" w:rsidR="004233F9" w:rsidRPr="008270B7" w:rsidRDefault="004233F9" w:rsidP="008270B7">
      <w:pPr>
        <w:tabs>
          <w:tab w:val="left" w:pos="720"/>
        </w:tabs>
        <w:jc w:val="both"/>
        <w:rPr>
          <w:rFonts w:cs="Arial"/>
          <w:sz w:val="16"/>
          <w:szCs w:val="16"/>
          <w:lang w:val="es-CO"/>
        </w:rPr>
      </w:pPr>
    </w:p>
    <w:p w14:paraId="72A34BD7" w14:textId="77777777" w:rsidR="00B10D26" w:rsidRPr="008270B7" w:rsidRDefault="00B10D26" w:rsidP="008270B7">
      <w:pPr>
        <w:pStyle w:val="Ttulo3"/>
        <w:numPr>
          <w:ilvl w:val="0"/>
          <w:numId w:val="0"/>
        </w:numPr>
        <w:tabs>
          <w:tab w:val="left" w:pos="720"/>
        </w:tabs>
        <w:spacing w:before="0" w:after="0"/>
        <w:ind w:left="720" w:hanging="720"/>
        <w:jc w:val="both"/>
        <w:rPr>
          <w:b w:val="0"/>
          <w:bCs w:val="0"/>
          <w:sz w:val="16"/>
          <w:szCs w:val="16"/>
        </w:rPr>
      </w:pPr>
      <w:r w:rsidRPr="008270B7">
        <w:rPr>
          <w:b w:val="0"/>
          <w:bCs w:val="0"/>
          <w:sz w:val="16"/>
          <w:szCs w:val="16"/>
        </w:rPr>
        <w:t xml:space="preserve">3.3.2. Planes de pensiones </w:t>
      </w:r>
    </w:p>
    <w:p w14:paraId="7DA1646C" w14:textId="77777777" w:rsidR="00B10D26" w:rsidRPr="008270B7" w:rsidRDefault="00B10D26" w:rsidP="008270B7">
      <w:pPr>
        <w:tabs>
          <w:tab w:val="left" w:pos="720"/>
        </w:tabs>
        <w:jc w:val="both"/>
        <w:rPr>
          <w:rFonts w:cs="Arial"/>
          <w:sz w:val="16"/>
          <w:szCs w:val="16"/>
          <w:lang w:val="es-ES_tradnl"/>
        </w:rPr>
      </w:pPr>
    </w:p>
    <w:p w14:paraId="3396840A" w14:textId="77777777" w:rsidR="00B10D26" w:rsidRPr="008270B7" w:rsidRDefault="00B10D26" w:rsidP="008270B7">
      <w:pPr>
        <w:pStyle w:val="Textoindependiente2"/>
        <w:tabs>
          <w:tab w:val="left" w:pos="720"/>
        </w:tabs>
        <w:ind w:right="51"/>
        <w:rPr>
          <w:rFonts w:cs="Arial"/>
          <w:b w:val="0"/>
          <w:sz w:val="16"/>
          <w:szCs w:val="16"/>
        </w:rPr>
      </w:pPr>
      <w:r w:rsidRPr="008270B7">
        <w:rPr>
          <w:rFonts w:cs="Arial"/>
          <w:b w:val="0"/>
          <w:sz w:val="16"/>
          <w:szCs w:val="16"/>
        </w:rPr>
        <w:t xml:space="preserve">De acuerdo con el art. 95 de la Ley 100 de 1993, las entidades autorizadas para actuar como administradoras o aseguradoras del SGP, deben someter a aprobación de la SFC los planes de capitalización y de pensiones que pretendan administrar, los cuales deben comprender todos los riesgos a que hace referencia dicha ley y señalar las condiciones específicas de cada amparo, según lo determina </w:t>
      </w:r>
      <w:r w:rsidR="002C089D" w:rsidRPr="008270B7">
        <w:rPr>
          <w:rFonts w:cs="Arial"/>
          <w:b w:val="0"/>
          <w:sz w:val="16"/>
          <w:szCs w:val="16"/>
        </w:rPr>
        <w:t>el</w:t>
      </w:r>
      <w:r w:rsidRPr="008270B7">
        <w:rPr>
          <w:rFonts w:cs="Arial"/>
          <w:b w:val="0"/>
          <w:sz w:val="16"/>
          <w:szCs w:val="16"/>
        </w:rPr>
        <w:t xml:space="preserve"> art. 96.</w:t>
      </w:r>
    </w:p>
    <w:p w14:paraId="30543067" w14:textId="77777777" w:rsidR="00B10D26" w:rsidRPr="008270B7" w:rsidRDefault="00B10D26" w:rsidP="008270B7">
      <w:pPr>
        <w:tabs>
          <w:tab w:val="left" w:pos="720"/>
        </w:tabs>
        <w:jc w:val="both"/>
        <w:rPr>
          <w:rFonts w:cs="Arial"/>
          <w:sz w:val="16"/>
          <w:szCs w:val="16"/>
        </w:rPr>
      </w:pPr>
    </w:p>
    <w:p w14:paraId="28D19ECF" w14:textId="77777777" w:rsidR="00B10D26" w:rsidRPr="008270B7" w:rsidRDefault="00B10D26" w:rsidP="008270B7">
      <w:pPr>
        <w:tabs>
          <w:tab w:val="left" w:pos="720"/>
        </w:tabs>
        <w:jc w:val="both"/>
        <w:rPr>
          <w:rFonts w:cs="Arial"/>
          <w:sz w:val="16"/>
          <w:szCs w:val="16"/>
          <w:lang w:val="es-ES_tradnl"/>
        </w:rPr>
      </w:pPr>
      <w:r w:rsidRPr="008270B7">
        <w:rPr>
          <w:rFonts w:cs="Arial"/>
          <w:sz w:val="16"/>
          <w:szCs w:val="16"/>
        </w:rPr>
        <w:t xml:space="preserve">Para garantizar el adecuado cumplimiento de lo dispuesto en los arts. 95 y 96 de la Ley 100 de 1993, a </w:t>
      </w:r>
      <w:proofErr w:type="gramStart"/>
      <w:r w:rsidRPr="008270B7">
        <w:rPr>
          <w:rFonts w:cs="Arial"/>
          <w:sz w:val="16"/>
          <w:szCs w:val="16"/>
        </w:rPr>
        <w:t>continuación</w:t>
      </w:r>
      <w:proofErr w:type="gramEnd"/>
      <w:r w:rsidRPr="008270B7">
        <w:rPr>
          <w:rFonts w:cs="Arial"/>
          <w:sz w:val="16"/>
          <w:szCs w:val="16"/>
        </w:rPr>
        <w:t xml:space="preserve"> se establecen los requisitos mínimos que deben reunir las pólizas de seguros:</w:t>
      </w:r>
    </w:p>
    <w:p w14:paraId="0CC6384E" w14:textId="77777777" w:rsidR="00B10D26" w:rsidRPr="008270B7" w:rsidRDefault="00B10D26" w:rsidP="008270B7">
      <w:pPr>
        <w:tabs>
          <w:tab w:val="left" w:pos="720"/>
        </w:tabs>
        <w:jc w:val="both"/>
        <w:rPr>
          <w:rFonts w:cs="Arial"/>
          <w:sz w:val="16"/>
          <w:szCs w:val="16"/>
          <w:lang w:val="es-ES_tradnl"/>
        </w:rPr>
      </w:pPr>
    </w:p>
    <w:p w14:paraId="2B6AB84B" w14:textId="77777777" w:rsidR="00B10D26" w:rsidRPr="008270B7" w:rsidRDefault="00B10D26" w:rsidP="008270B7">
      <w:pPr>
        <w:tabs>
          <w:tab w:val="left" w:pos="720"/>
        </w:tabs>
        <w:jc w:val="both"/>
        <w:rPr>
          <w:rFonts w:cs="Arial"/>
          <w:sz w:val="16"/>
          <w:szCs w:val="16"/>
        </w:rPr>
      </w:pPr>
      <w:r w:rsidRPr="008270B7">
        <w:rPr>
          <w:rFonts w:cs="Arial"/>
          <w:sz w:val="16"/>
          <w:szCs w:val="16"/>
        </w:rPr>
        <w:t>3.3.2.1. Naturaleza del Seguro. Los planes de renta vitalicia deben adoptar la modalidad de seguros de participación. Las pólizas son de participación, si la entidad aseguradora se obliga a repartir utilidades a los pensionados.</w:t>
      </w:r>
    </w:p>
    <w:p w14:paraId="382CD250" w14:textId="77777777" w:rsidR="00B10D26" w:rsidRPr="008270B7" w:rsidRDefault="00B10D26" w:rsidP="008270B7">
      <w:pPr>
        <w:tabs>
          <w:tab w:val="left" w:pos="720"/>
        </w:tabs>
        <w:jc w:val="both"/>
        <w:rPr>
          <w:rFonts w:cs="Arial"/>
          <w:sz w:val="16"/>
          <w:szCs w:val="16"/>
        </w:rPr>
      </w:pPr>
    </w:p>
    <w:p w14:paraId="2A8D2254" w14:textId="77777777" w:rsidR="00B10D26" w:rsidRPr="008270B7" w:rsidRDefault="00B10D26" w:rsidP="008270B7">
      <w:pPr>
        <w:tabs>
          <w:tab w:val="left" w:pos="720"/>
        </w:tabs>
        <w:jc w:val="both"/>
        <w:rPr>
          <w:rFonts w:cs="Arial"/>
          <w:sz w:val="16"/>
          <w:szCs w:val="16"/>
        </w:rPr>
      </w:pPr>
      <w:r w:rsidRPr="008270B7">
        <w:rPr>
          <w:rFonts w:cs="Arial"/>
          <w:sz w:val="16"/>
          <w:szCs w:val="16"/>
        </w:rPr>
        <w:t>3.3.2.2. Condiciones de los planes para las pólizas de seguro de renta vitalicia. Los planes de pensión que se sometan a aprobación de la SFC deben ajustarse a los siguientes parámetros:</w:t>
      </w:r>
    </w:p>
    <w:p w14:paraId="036AAD23" w14:textId="77777777" w:rsidR="00B10D26" w:rsidRPr="008270B7" w:rsidRDefault="00B10D26" w:rsidP="008270B7">
      <w:pPr>
        <w:tabs>
          <w:tab w:val="left" w:pos="720"/>
        </w:tabs>
        <w:jc w:val="both"/>
        <w:rPr>
          <w:rFonts w:cs="Arial"/>
          <w:sz w:val="16"/>
          <w:szCs w:val="16"/>
        </w:rPr>
      </w:pPr>
    </w:p>
    <w:p w14:paraId="2E80C92B"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 Seguro de renta vitalicia inmediata</w:t>
      </w:r>
    </w:p>
    <w:p w14:paraId="1DB24BF8" w14:textId="77777777" w:rsidR="00B10D26" w:rsidRPr="008270B7" w:rsidRDefault="00B10D26" w:rsidP="008270B7">
      <w:pPr>
        <w:tabs>
          <w:tab w:val="left" w:pos="0"/>
          <w:tab w:val="left" w:pos="720"/>
        </w:tabs>
        <w:jc w:val="both"/>
        <w:rPr>
          <w:rFonts w:cs="Arial"/>
          <w:sz w:val="16"/>
          <w:szCs w:val="16"/>
        </w:rPr>
      </w:pPr>
    </w:p>
    <w:p w14:paraId="5C19184C" w14:textId="77777777" w:rsidR="00B10D26" w:rsidRPr="008270B7" w:rsidRDefault="00B10D26" w:rsidP="008270B7">
      <w:pPr>
        <w:pStyle w:val="Textoindependiente3"/>
        <w:tabs>
          <w:tab w:val="left" w:pos="0"/>
          <w:tab w:val="left" w:pos="720"/>
        </w:tabs>
        <w:rPr>
          <w:rFonts w:cs="Arial"/>
          <w:b w:val="0"/>
          <w:spacing w:val="0"/>
          <w:szCs w:val="16"/>
        </w:rPr>
      </w:pPr>
      <w:r w:rsidRPr="008270B7">
        <w:rPr>
          <w:rFonts w:cs="Arial"/>
          <w:b w:val="0"/>
          <w:spacing w:val="0"/>
          <w:szCs w:val="16"/>
        </w:rPr>
        <w:t>3.3.2.2.1.1. Amparo. En virtud del seguro de renta vitalicia inmediata la entidad aseguradora se obliga a pagar al asegurado una renta mensual vitalicia, de conformidad con lo previsto en el art. 80 de la Ley 100 de 1993.</w:t>
      </w:r>
    </w:p>
    <w:p w14:paraId="49C60615" w14:textId="77777777" w:rsidR="00B10D26" w:rsidRPr="008270B7" w:rsidRDefault="00B10D26" w:rsidP="008270B7">
      <w:pPr>
        <w:tabs>
          <w:tab w:val="left" w:pos="0"/>
          <w:tab w:val="left" w:pos="720"/>
        </w:tabs>
        <w:jc w:val="both"/>
        <w:rPr>
          <w:rFonts w:cs="Arial"/>
          <w:sz w:val="16"/>
          <w:szCs w:val="16"/>
        </w:rPr>
      </w:pPr>
    </w:p>
    <w:p w14:paraId="4CE431BD" w14:textId="77777777" w:rsidR="00B10D26" w:rsidRPr="008270B7" w:rsidRDefault="00B10D26" w:rsidP="008270B7">
      <w:pPr>
        <w:pStyle w:val="Textoindependiente2"/>
        <w:tabs>
          <w:tab w:val="left" w:pos="0"/>
          <w:tab w:val="left" w:pos="720"/>
        </w:tabs>
        <w:ind w:right="51"/>
        <w:rPr>
          <w:rFonts w:cs="Arial"/>
          <w:b w:val="0"/>
          <w:sz w:val="16"/>
          <w:szCs w:val="16"/>
        </w:rPr>
      </w:pPr>
      <w:r w:rsidRPr="008270B7">
        <w:rPr>
          <w:rFonts w:cs="Arial"/>
          <w:b w:val="0"/>
          <w:sz w:val="16"/>
          <w:szCs w:val="16"/>
        </w:rPr>
        <w:t>Al fallecimiento del pensionado, la aseguradora debe pagar el auxilio funerario a que se refiere el art. 86 de la Ley 100 de 1993 y las pensiones mensuales de sobrevivientes en favor de los beneficiarios por el tiempo a que ellos tengan derecho.</w:t>
      </w:r>
    </w:p>
    <w:p w14:paraId="6954FEE4" w14:textId="77777777" w:rsidR="00B10D26" w:rsidRPr="008270B7" w:rsidRDefault="00B10D26" w:rsidP="008270B7">
      <w:pPr>
        <w:tabs>
          <w:tab w:val="left" w:pos="0"/>
          <w:tab w:val="left" w:pos="720"/>
        </w:tabs>
        <w:jc w:val="both"/>
        <w:rPr>
          <w:rFonts w:cs="Arial"/>
          <w:sz w:val="16"/>
          <w:szCs w:val="16"/>
        </w:rPr>
      </w:pPr>
    </w:p>
    <w:p w14:paraId="7CC36BDB"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3.3.2.2.1.2. Definiciones. Para los efectos del presente seguro se entiende por:</w:t>
      </w:r>
    </w:p>
    <w:p w14:paraId="700DBA80" w14:textId="77777777" w:rsidR="00B10D26" w:rsidRPr="008270B7" w:rsidRDefault="00B10D26" w:rsidP="008270B7">
      <w:pPr>
        <w:pStyle w:val="Textoindependiente2"/>
        <w:tabs>
          <w:tab w:val="left" w:pos="0"/>
          <w:tab w:val="left" w:pos="720"/>
        </w:tabs>
        <w:rPr>
          <w:rFonts w:cs="Arial"/>
          <w:b w:val="0"/>
          <w:sz w:val="16"/>
          <w:szCs w:val="16"/>
        </w:rPr>
      </w:pPr>
    </w:p>
    <w:p w14:paraId="59B8A9C6" w14:textId="77777777" w:rsidR="00B10D26" w:rsidRPr="008270B7" w:rsidRDefault="00B10D26" w:rsidP="008270B7">
      <w:pPr>
        <w:tabs>
          <w:tab w:val="left" w:pos="720"/>
        </w:tabs>
        <w:jc w:val="both"/>
        <w:rPr>
          <w:rFonts w:cs="Arial"/>
          <w:sz w:val="16"/>
          <w:szCs w:val="16"/>
        </w:rPr>
      </w:pPr>
      <w:r w:rsidRPr="008270B7">
        <w:rPr>
          <w:rFonts w:cs="Arial"/>
          <w:sz w:val="16"/>
          <w:szCs w:val="16"/>
        </w:rPr>
        <w:t>3.3.2.2.1.2.1. Afiliado: La persona incorporada al SGP en los términos del art. 15 de la Ley 100 de 1993, mediante su afiliación a una sociedad que administre fondos de pensiones.</w:t>
      </w:r>
    </w:p>
    <w:p w14:paraId="1C55F2B7" w14:textId="77777777" w:rsidR="00B10D26" w:rsidRPr="008270B7" w:rsidRDefault="00B10D26" w:rsidP="008270B7">
      <w:pPr>
        <w:tabs>
          <w:tab w:val="num" w:pos="0"/>
          <w:tab w:val="left" w:pos="720"/>
        </w:tabs>
        <w:jc w:val="both"/>
        <w:rPr>
          <w:rFonts w:cs="Arial"/>
          <w:sz w:val="16"/>
          <w:szCs w:val="16"/>
        </w:rPr>
      </w:pPr>
    </w:p>
    <w:p w14:paraId="284D0B88" w14:textId="77777777" w:rsidR="00B10D26" w:rsidRPr="008270B7" w:rsidRDefault="00B10D26" w:rsidP="008270B7">
      <w:pPr>
        <w:tabs>
          <w:tab w:val="left" w:pos="720"/>
        </w:tabs>
        <w:jc w:val="both"/>
        <w:rPr>
          <w:rFonts w:cs="Arial"/>
          <w:sz w:val="16"/>
          <w:szCs w:val="16"/>
        </w:rPr>
      </w:pPr>
      <w:r w:rsidRPr="008270B7">
        <w:rPr>
          <w:rFonts w:cs="Arial"/>
          <w:sz w:val="16"/>
          <w:szCs w:val="16"/>
        </w:rPr>
        <w:t>3.3.2.2.1.2.2. Pensionado: El pensionado o el beneficiario de la pensión de sobrevivientes de un afiliado fallecido que contrate la póliza de renta vitalicia.</w:t>
      </w:r>
    </w:p>
    <w:p w14:paraId="2EC02AF6" w14:textId="77777777" w:rsidR="00B10D26" w:rsidRPr="008270B7" w:rsidRDefault="00B10D26" w:rsidP="008270B7">
      <w:pPr>
        <w:tabs>
          <w:tab w:val="num" w:pos="0"/>
          <w:tab w:val="left" w:pos="720"/>
        </w:tabs>
        <w:jc w:val="both"/>
        <w:rPr>
          <w:rFonts w:cs="Arial"/>
          <w:sz w:val="16"/>
          <w:szCs w:val="16"/>
        </w:rPr>
      </w:pPr>
    </w:p>
    <w:p w14:paraId="1D3CEEF2" w14:textId="77777777" w:rsidR="00B10D26" w:rsidRPr="008270B7" w:rsidRDefault="00B10D26" w:rsidP="008270B7">
      <w:pPr>
        <w:tabs>
          <w:tab w:val="left" w:pos="720"/>
        </w:tabs>
        <w:jc w:val="both"/>
        <w:rPr>
          <w:rFonts w:cs="Arial"/>
          <w:sz w:val="16"/>
          <w:szCs w:val="16"/>
        </w:rPr>
      </w:pPr>
      <w:r w:rsidRPr="008270B7">
        <w:rPr>
          <w:rFonts w:cs="Arial"/>
          <w:sz w:val="16"/>
          <w:szCs w:val="16"/>
        </w:rPr>
        <w:t xml:space="preserve">3.3.2.2.1.2.3. Rentista: La persona a la cual la entidad aseguradora le paga una renta vitalicia. </w:t>
      </w:r>
    </w:p>
    <w:p w14:paraId="45A769A5" w14:textId="77777777" w:rsidR="00B10D26" w:rsidRPr="008270B7" w:rsidRDefault="00B10D26" w:rsidP="008270B7">
      <w:pPr>
        <w:tabs>
          <w:tab w:val="num" w:pos="0"/>
          <w:tab w:val="left" w:pos="720"/>
        </w:tabs>
        <w:jc w:val="both"/>
        <w:rPr>
          <w:rFonts w:cs="Arial"/>
          <w:sz w:val="16"/>
          <w:szCs w:val="16"/>
        </w:rPr>
      </w:pPr>
    </w:p>
    <w:p w14:paraId="428CAD77" w14:textId="77777777" w:rsidR="00B10D26" w:rsidRPr="008270B7" w:rsidRDefault="00B10D26" w:rsidP="008270B7">
      <w:pPr>
        <w:tabs>
          <w:tab w:val="left" w:pos="720"/>
        </w:tabs>
        <w:jc w:val="both"/>
        <w:rPr>
          <w:rFonts w:cs="Arial"/>
          <w:sz w:val="16"/>
          <w:szCs w:val="16"/>
        </w:rPr>
      </w:pPr>
      <w:r w:rsidRPr="008270B7">
        <w:rPr>
          <w:rFonts w:cs="Arial"/>
          <w:sz w:val="16"/>
          <w:szCs w:val="16"/>
        </w:rPr>
        <w:t>3.3.2.2.1.2.4. Beneficiarios: Las personas que cumplan los requisitos señalados en el art. 74 de la Ley 100 de 1993 y que figuren como tales en las condiciones particulares de la póliza.</w:t>
      </w:r>
    </w:p>
    <w:p w14:paraId="29E795DC" w14:textId="77777777" w:rsidR="00B10D26" w:rsidRPr="008270B7" w:rsidRDefault="00B10D26" w:rsidP="008270B7">
      <w:pPr>
        <w:pStyle w:val="Textoindependiente21"/>
        <w:tabs>
          <w:tab w:val="clear" w:pos="851"/>
          <w:tab w:val="left" w:pos="0"/>
          <w:tab w:val="left" w:pos="720"/>
        </w:tabs>
        <w:rPr>
          <w:rFonts w:cs="Arial"/>
          <w:sz w:val="16"/>
          <w:szCs w:val="16"/>
          <w:lang w:val="es-ES"/>
        </w:rPr>
      </w:pPr>
    </w:p>
    <w:p w14:paraId="346CD46A"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3.3.2.2.1.3. Irrevocabilidad. Sin perjuicio de lo dispuesto en el EOSF sobre cesión de activos, pasivos y contratos y demás normas relativas al funcionamiento de las instituciones financieras, y de lo previsto en el art. 70 de la Ley 100 de 1993 sobre cesación del estado de invalidez, ninguna de las partes puede poner término anticipado al contrato de renta vitalicia inmediata, el cual debe permanecer vigente hasta la muerte del pensionado o del último de sus beneficiarios con derecho a pensión de sobrevivientes, si los hubiere.</w:t>
      </w:r>
    </w:p>
    <w:p w14:paraId="4E1DC8E3" w14:textId="77777777" w:rsidR="00B10D26" w:rsidRPr="008270B7" w:rsidRDefault="00B10D26" w:rsidP="008270B7">
      <w:pPr>
        <w:tabs>
          <w:tab w:val="left" w:pos="0"/>
          <w:tab w:val="left" w:pos="720"/>
        </w:tabs>
        <w:jc w:val="both"/>
        <w:rPr>
          <w:rFonts w:cs="Arial"/>
          <w:sz w:val="16"/>
          <w:szCs w:val="16"/>
        </w:rPr>
      </w:pPr>
    </w:p>
    <w:p w14:paraId="67B09942"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3.3.2.2.1.4. Designación de beneficiario. Los beneficiarios deben ser individualizados en las condiciones particulares de la póliza. Si con posterioridad surgen otras personas con derecho a pensión de sobrevivientes, se deben recalcular las pensiones determinadas inicialmente incluyendo a todos los beneficiarios de acuerdo con la Ley. Dicho recálculo se debe efectuar en función de la reserva matemática que mantenga la entidad aseguradora al momento de acreditarse los nuevos beneficiarios.</w:t>
      </w:r>
    </w:p>
    <w:p w14:paraId="7CF46F49" w14:textId="77777777" w:rsidR="00B10D26" w:rsidRPr="008270B7" w:rsidRDefault="00B10D26" w:rsidP="008270B7">
      <w:pPr>
        <w:tabs>
          <w:tab w:val="left" w:pos="0"/>
          <w:tab w:val="left" w:pos="720"/>
        </w:tabs>
        <w:jc w:val="both"/>
        <w:rPr>
          <w:rFonts w:cs="Arial"/>
          <w:sz w:val="16"/>
          <w:szCs w:val="16"/>
        </w:rPr>
      </w:pPr>
    </w:p>
    <w:p w14:paraId="485E3C74"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3.3.2.2.1.5. Prima. La prima es única, pagadera una sola vez por la sociedad que administre el fondo de pensiones en la cual se encuentra el afiliado. Con cargo a dicha prima solo se otorgan los beneficios señalados en los arts. 80 y 86 de la Ley 100 de 1993.</w:t>
      </w:r>
    </w:p>
    <w:p w14:paraId="62420E92" w14:textId="77777777" w:rsidR="00B10D26" w:rsidRPr="008270B7" w:rsidRDefault="00B10D26" w:rsidP="008270B7">
      <w:pPr>
        <w:tabs>
          <w:tab w:val="left" w:pos="0"/>
          <w:tab w:val="left" w:pos="720"/>
        </w:tabs>
        <w:jc w:val="both"/>
        <w:rPr>
          <w:rFonts w:cs="Arial"/>
          <w:sz w:val="16"/>
          <w:szCs w:val="16"/>
        </w:rPr>
      </w:pPr>
    </w:p>
    <w:p w14:paraId="1B35EE7A"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Lo anterior no obsta para que la aseguradora otorgue beneficios adicionales, previa aprobación de la SFC.</w:t>
      </w:r>
    </w:p>
    <w:p w14:paraId="7F0A8653" w14:textId="77777777" w:rsidR="00B10D26" w:rsidRPr="008270B7" w:rsidRDefault="00B10D26" w:rsidP="008270B7">
      <w:pPr>
        <w:tabs>
          <w:tab w:val="left" w:pos="0"/>
          <w:tab w:val="left" w:pos="720"/>
        </w:tabs>
        <w:jc w:val="both"/>
        <w:rPr>
          <w:rFonts w:cs="Arial"/>
          <w:sz w:val="16"/>
          <w:szCs w:val="16"/>
        </w:rPr>
      </w:pPr>
    </w:p>
    <w:p w14:paraId="51D00D58"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3.3.2.2.1.6. Reajuste de valores. Las pensiones mensuales que otorga la póliza se reajustan en los términos que señala el art. 14 de la Ley 100 de 1993.</w:t>
      </w:r>
    </w:p>
    <w:p w14:paraId="359CD817" w14:textId="77777777" w:rsidR="00B10D26" w:rsidRPr="008270B7" w:rsidRDefault="00B10D26" w:rsidP="008270B7">
      <w:pPr>
        <w:tabs>
          <w:tab w:val="left" w:pos="0"/>
          <w:tab w:val="left" w:pos="720"/>
        </w:tabs>
        <w:jc w:val="both"/>
        <w:rPr>
          <w:rFonts w:cs="Arial"/>
          <w:sz w:val="16"/>
          <w:szCs w:val="16"/>
        </w:rPr>
      </w:pPr>
    </w:p>
    <w:p w14:paraId="5D1AAC24"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3.3.2.2.1.7. Monto de pensiones. Las pensiones que se determinen en virtud de un seguro de renta vitalicia inmediata deben ser uniformes en términos de poder adquisitivo constante y no pueden ser contratadas por valores inferiores a la pensión mínima de vejez vigente del momento.</w:t>
      </w:r>
    </w:p>
    <w:p w14:paraId="634ACD59" w14:textId="77777777" w:rsidR="00B10D26" w:rsidRPr="008270B7" w:rsidRDefault="00B10D26" w:rsidP="008270B7">
      <w:pPr>
        <w:pStyle w:val="Textoindependiente31"/>
        <w:tabs>
          <w:tab w:val="left" w:pos="0"/>
          <w:tab w:val="left" w:pos="720"/>
        </w:tabs>
        <w:rPr>
          <w:rFonts w:cs="Arial"/>
          <w:sz w:val="16"/>
          <w:szCs w:val="16"/>
          <w:lang w:val="es-ES"/>
        </w:rPr>
      </w:pPr>
    </w:p>
    <w:p w14:paraId="47B4BB3B"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Las pensiones de sobrevivientes equivalen a los porcentajes establecidos en el art. 48 de la Ley 100 de 1993.</w:t>
      </w:r>
    </w:p>
    <w:p w14:paraId="7B7F8F7C" w14:textId="77777777" w:rsidR="00B10D26" w:rsidRPr="005D76E3" w:rsidRDefault="00B10D26" w:rsidP="008270B7">
      <w:pPr>
        <w:tabs>
          <w:tab w:val="left" w:pos="0"/>
          <w:tab w:val="left" w:pos="720"/>
        </w:tabs>
        <w:jc w:val="both"/>
        <w:rPr>
          <w:rFonts w:cs="Arial"/>
          <w:sz w:val="4"/>
          <w:szCs w:val="4"/>
        </w:rPr>
      </w:pPr>
    </w:p>
    <w:p w14:paraId="67B08C12" w14:textId="77777777" w:rsidR="00B10D26" w:rsidRPr="008270B7" w:rsidRDefault="00B10D26" w:rsidP="008270B7">
      <w:pPr>
        <w:pStyle w:val="Textoindependiente31"/>
        <w:tabs>
          <w:tab w:val="left" w:pos="0"/>
          <w:tab w:val="left" w:pos="720"/>
        </w:tabs>
        <w:rPr>
          <w:rFonts w:cs="Arial"/>
          <w:sz w:val="16"/>
          <w:szCs w:val="16"/>
        </w:rPr>
      </w:pPr>
      <w:r w:rsidRPr="008270B7">
        <w:rPr>
          <w:rFonts w:cs="Arial"/>
          <w:sz w:val="16"/>
          <w:szCs w:val="16"/>
        </w:rPr>
        <w:t>3.3.2.2.1.8. Ajustes de prima y pensiones. Si por efecto de las variaciones que sufran el valor de la unidad real UVR y la cuota del fondo de pensiones, entre la fecha de contratación del seguro y la del pago efectivo de la cuenta individual del afiliado se produce alguna discrepancia entre el monto convenido y el valor realmente traspasado por la administradora a la entidad aseguradora, se deben ajustar los valores de la prima única y de las pensiones, de acuerdo con lo realmente percibido por el asegurador, manteniéndose en todo caso, los mismos criterios y parámetros utilizados en el cálculo original.</w:t>
      </w:r>
    </w:p>
    <w:p w14:paraId="7AFA6A79" w14:textId="77777777" w:rsidR="00B10D26" w:rsidRPr="004514F2" w:rsidRDefault="00B10D26" w:rsidP="008270B7">
      <w:pPr>
        <w:tabs>
          <w:tab w:val="left" w:pos="0"/>
          <w:tab w:val="left" w:pos="720"/>
        </w:tabs>
        <w:jc w:val="both"/>
        <w:rPr>
          <w:rFonts w:cs="Arial"/>
          <w:sz w:val="6"/>
          <w:szCs w:val="6"/>
        </w:rPr>
      </w:pPr>
    </w:p>
    <w:p w14:paraId="1892B320" w14:textId="219FC549" w:rsidR="00B10D26" w:rsidRPr="008270B7" w:rsidRDefault="00B10D26" w:rsidP="008270B7">
      <w:pPr>
        <w:tabs>
          <w:tab w:val="left" w:pos="0"/>
          <w:tab w:val="left" w:pos="720"/>
        </w:tabs>
        <w:jc w:val="both"/>
        <w:rPr>
          <w:rFonts w:cs="Arial"/>
          <w:sz w:val="16"/>
          <w:szCs w:val="16"/>
        </w:rPr>
      </w:pPr>
      <w:r w:rsidRPr="008270B7">
        <w:rPr>
          <w:rFonts w:cs="Arial"/>
          <w:sz w:val="16"/>
          <w:szCs w:val="16"/>
        </w:rPr>
        <w:t>3.3.2.2.1.9. Pago de pensiones. Las pensiones que se devenguen en virtud de esta póliza comienzan a pagarse a más tardar dentro del mes calendario siguiente a la fecha de vigencia inicial, o de la fecha en que el beneficiario acredite la muerte del pensionado que recibe pensión de vejez o de invalidez, si se trata de pensiones de sobrevivientes.</w:t>
      </w:r>
    </w:p>
    <w:p w14:paraId="0E58F145" w14:textId="77777777" w:rsidR="005D76E3" w:rsidRDefault="005D76E3" w:rsidP="008270B7">
      <w:pPr>
        <w:tabs>
          <w:tab w:val="left" w:pos="0"/>
          <w:tab w:val="left" w:pos="720"/>
        </w:tabs>
        <w:jc w:val="both"/>
        <w:rPr>
          <w:rFonts w:cs="Arial"/>
          <w:sz w:val="16"/>
          <w:szCs w:val="16"/>
        </w:rPr>
      </w:pPr>
    </w:p>
    <w:p w14:paraId="4EEE92FD" w14:textId="323AA1AB"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Las pensiones se deben pagar el día y lugar que convengan las partes y no devengan intereses ni reajustes por atrasos en su cobro, que sean imputables al pensionado o beneficiario.  A falta de estipulación expresa, el pago se debe efectuar el día </w:t>
      </w:r>
      <w:r w:rsidR="002C089D" w:rsidRPr="008270B7">
        <w:rPr>
          <w:rFonts w:cs="Arial"/>
          <w:sz w:val="16"/>
          <w:szCs w:val="16"/>
        </w:rPr>
        <w:t>20</w:t>
      </w:r>
      <w:r w:rsidRPr="008270B7">
        <w:rPr>
          <w:rFonts w:cs="Arial"/>
          <w:sz w:val="16"/>
          <w:szCs w:val="16"/>
        </w:rPr>
        <w:t xml:space="preserve"> de cada mes o siguiente día hábil si aquel no fuere hábil, en la oficina de la aseguradora más cercana al domicilio del </w:t>
      </w:r>
      <w:r w:rsidRPr="008270B7">
        <w:rPr>
          <w:rFonts w:cs="Arial"/>
          <w:sz w:val="16"/>
          <w:szCs w:val="16"/>
        </w:rPr>
        <w:lastRenderedPageBreak/>
        <w:t>pensionado o beneficiario, según el caso. Las pensiones de sobrevivientes de los hijos incapaces del pensionado fallecido se deben pagar a quien los represente legalmente.</w:t>
      </w:r>
    </w:p>
    <w:p w14:paraId="3189CEE0" w14:textId="77777777" w:rsidR="00B10D26" w:rsidRPr="008270B7" w:rsidRDefault="00B10D26" w:rsidP="008270B7">
      <w:pPr>
        <w:tabs>
          <w:tab w:val="left" w:pos="0"/>
          <w:tab w:val="left" w:pos="720"/>
        </w:tabs>
        <w:jc w:val="both"/>
        <w:rPr>
          <w:rFonts w:cs="Arial"/>
          <w:sz w:val="16"/>
          <w:szCs w:val="16"/>
        </w:rPr>
      </w:pPr>
    </w:p>
    <w:p w14:paraId="0ED22E7C"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3.3.2.2.1.10. Auxilio funerario. La aseguradora debe pagar por una sola vez a la persona que demuestre haber sufragado los gastos de entierro del pensionado, un auxilio funerario equivalente al valor correspondiente a la última mesada pensional recibida, la cual no debe ser inferior a 5 </w:t>
      </w:r>
      <w:r w:rsidR="00AF6AF8" w:rsidRPr="008270B7">
        <w:rPr>
          <w:rFonts w:cs="Arial"/>
          <w:sz w:val="16"/>
          <w:szCs w:val="16"/>
        </w:rPr>
        <w:t>SMMLV</w:t>
      </w:r>
      <w:r w:rsidRPr="008270B7">
        <w:rPr>
          <w:rFonts w:cs="Arial"/>
          <w:sz w:val="16"/>
          <w:szCs w:val="16"/>
        </w:rPr>
        <w:t>, ni superior a 10 veces dicho salario.</w:t>
      </w:r>
    </w:p>
    <w:p w14:paraId="304E0CFC" w14:textId="77777777" w:rsidR="00B10D26" w:rsidRPr="008270B7" w:rsidRDefault="00B10D26" w:rsidP="008270B7">
      <w:pPr>
        <w:tabs>
          <w:tab w:val="left" w:pos="0"/>
          <w:tab w:val="left" w:pos="720"/>
        </w:tabs>
        <w:jc w:val="both"/>
        <w:rPr>
          <w:rFonts w:cs="Arial"/>
          <w:sz w:val="16"/>
          <w:szCs w:val="16"/>
        </w:rPr>
      </w:pPr>
    </w:p>
    <w:p w14:paraId="3D54F364"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3.3.2.2.1.11. Fecha de vigencia inicial. Este seguro tendrá vigencia a partir de la fecha en que se efectúe el traspaso de la prima única por parte de la </w:t>
      </w:r>
      <w:r w:rsidR="002C089D" w:rsidRPr="008270B7">
        <w:rPr>
          <w:rFonts w:cs="Arial"/>
          <w:sz w:val="16"/>
          <w:szCs w:val="16"/>
        </w:rPr>
        <w:t>a</w:t>
      </w:r>
      <w:r w:rsidRPr="008270B7">
        <w:rPr>
          <w:rFonts w:cs="Arial"/>
          <w:sz w:val="16"/>
          <w:szCs w:val="16"/>
        </w:rPr>
        <w:t xml:space="preserve">dministradora de </w:t>
      </w:r>
      <w:r w:rsidR="002C089D" w:rsidRPr="008270B7">
        <w:rPr>
          <w:rFonts w:cs="Arial"/>
          <w:sz w:val="16"/>
          <w:szCs w:val="16"/>
        </w:rPr>
        <w:t>f</w:t>
      </w:r>
      <w:r w:rsidRPr="008270B7">
        <w:rPr>
          <w:rFonts w:cs="Arial"/>
          <w:sz w:val="16"/>
          <w:szCs w:val="16"/>
        </w:rPr>
        <w:t xml:space="preserve">ondos de </w:t>
      </w:r>
      <w:r w:rsidR="002C089D" w:rsidRPr="008270B7">
        <w:rPr>
          <w:rFonts w:cs="Arial"/>
          <w:sz w:val="16"/>
          <w:szCs w:val="16"/>
        </w:rPr>
        <w:t>p</w:t>
      </w:r>
      <w:r w:rsidRPr="008270B7">
        <w:rPr>
          <w:rFonts w:cs="Arial"/>
          <w:sz w:val="16"/>
          <w:szCs w:val="16"/>
        </w:rPr>
        <w:t>ensiones a la cual se encuentre incorporado el afiliado.</w:t>
      </w:r>
    </w:p>
    <w:p w14:paraId="7F0A26FB" w14:textId="77777777" w:rsidR="00B10D26" w:rsidRPr="008270B7" w:rsidRDefault="00B10D26" w:rsidP="008270B7">
      <w:pPr>
        <w:tabs>
          <w:tab w:val="left" w:pos="0"/>
          <w:tab w:val="left" w:pos="720"/>
        </w:tabs>
        <w:jc w:val="both"/>
        <w:rPr>
          <w:rFonts w:cs="Arial"/>
          <w:sz w:val="16"/>
          <w:szCs w:val="16"/>
        </w:rPr>
      </w:pPr>
    </w:p>
    <w:p w14:paraId="43865B5A"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Las pensiones de vejez y de invalidez se devengan a partir del primer día del mes en que </w:t>
      </w:r>
      <w:proofErr w:type="gramStart"/>
      <w:r w:rsidRPr="008270B7">
        <w:rPr>
          <w:rFonts w:cs="Arial"/>
          <w:sz w:val="16"/>
          <w:szCs w:val="16"/>
        </w:rPr>
        <w:t>entre en vigencia</w:t>
      </w:r>
      <w:proofErr w:type="gramEnd"/>
      <w:r w:rsidRPr="008270B7">
        <w:rPr>
          <w:rFonts w:cs="Arial"/>
          <w:sz w:val="16"/>
          <w:szCs w:val="16"/>
        </w:rPr>
        <w:t xml:space="preserve"> la póliza, y las pensiones de sobrevivientes causadas por un pensionado fallecido, se devengan a partir de la fecha de su muerte.</w:t>
      </w:r>
    </w:p>
    <w:p w14:paraId="146B6264" w14:textId="77777777" w:rsidR="00B10D26" w:rsidRPr="008270B7" w:rsidRDefault="00B10D26" w:rsidP="008270B7">
      <w:pPr>
        <w:tabs>
          <w:tab w:val="left" w:pos="0"/>
          <w:tab w:val="left" w:pos="720"/>
        </w:tabs>
        <w:jc w:val="both"/>
        <w:rPr>
          <w:rFonts w:cs="Arial"/>
          <w:sz w:val="16"/>
          <w:szCs w:val="16"/>
        </w:rPr>
      </w:pPr>
    </w:p>
    <w:p w14:paraId="76AA4FDF"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No se deben pagar las pensiones de sobrevivientes señaladas en el inciso anterior, en el mismo mes en que se paguen pensiones de vejez o invalidez.</w:t>
      </w:r>
    </w:p>
    <w:p w14:paraId="7EC70B07" w14:textId="77777777" w:rsidR="00B10D26" w:rsidRPr="008270B7" w:rsidRDefault="00B10D26" w:rsidP="008270B7">
      <w:pPr>
        <w:pStyle w:val="Textoindependiente21"/>
        <w:tabs>
          <w:tab w:val="clear" w:pos="851"/>
          <w:tab w:val="left" w:pos="0"/>
          <w:tab w:val="left" w:pos="720"/>
        </w:tabs>
        <w:rPr>
          <w:rFonts w:cs="Arial"/>
          <w:sz w:val="16"/>
          <w:szCs w:val="16"/>
          <w:lang w:val="es-ES"/>
        </w:rPr>
      </w:pPr>
    </w:p>
    <w:p w14:paraId="34FF16D6"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3.3.2.2.1.12. Liberalidad de condiciones. La póliza no puede imponer a los asegurados o beneficiarios restricciones en cuanto a residencia, profesión, oficio, cargo o actividad en general.</w:t>
      </w:r>
    </w:p>
    <w:p w14:paraId="391BDCFE" w14:textId="77777777" w:rsidR="00B10D26" w:rsidRPr="008270B7" w:rsidRDefault="00B10D26" w:rsidP="008270B7">
      <w:pPr>
        <w:pStyle w:val="Textoindependiente21"/>
        <w:tabs>
          <w:tab w:val="clear" w:pos="851"/>
          <w:tab w:val="left" w:pos="0"/>
          <w:tab w:val="left" w:pos="720"/>
        </w:tabs>
        <w:rPr>
          <w:rFonts w:cs="Arial"/>
          <w:sz w:val="16"/>
          <w:szCs w:val="16"/>
          <w:lang w:val="es-ES"/>
        </w:rPr>
      </w:pPr>
    </w:p>
    <w:p w14:paraId="7CF9E086" w14:textId="77777777" w:rsidR="00B10D26" w:rsidRPr="008270B7" w:rsidRDefault="00B10D26" w:rsidP="008270B7">
      <w:pPr>
        <w:pStyle w:val="Textoindependiente21"/>
        <w:tabs>
          <w:tab w:val="clear" w:pos="851"/>
          <w:tab w:val="left" w:pos="0"/>
          <w:tab w:val="left" w:pos="720"/>
        </w:tabs>
        <w:rPr>
          <w:rFonts w:cs="Arial"/>
          <w:sz w:val="16"/>
          <w:szCs w:val="16"/>
          <w:lang w:val="es-ES"/>
        </w:rPr>
      </w:pPr>
      <w:r w:rsidRPr="008270B7">
        <w:rPr>
          <w:rFonts w:cs="Arial"/>
          <w:sz w:val="16"/>
          <w:szCs w:val="16"/>
          <w:lang w:val="es-ES"/>
        </w:rPr>
        <w:t>3.3.2.2.2. Seguro de renta vitalicia diferida</w:t>
      </w:r>
    </w:p>
    <w:p w14:paraId="1927763C"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ab/>
      </w:r>
    </w:p>
    <w:p w14:paraId="19EF9186"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3.3.2.2.2.1. Amparo. En virtud del seguro de renta vitalicia diferida, la entidad aseguradora se obliga a pagar al asegurado una renta vitalicia mensual, a partir de la fecha determinada en las condiciones particulares de la póliza, de conformidad con lo establecido en el art. 82 de la Ley 100 de 1993.</w:t>
      </w:r>
    </w:p>
    <w:p w14:paraId="16AE7E39" w14:textId="77777777" w:rsidR="00B10D26" w:rsidRPr="008270B7" w:rsidRDefault="00B10D26" w:rsidP="008270B7">
      <w:pPr>
        <w:tabs>
          <w:tab w:val="left" w:pos="0"/>
          <w:tab w:val="left" w:pos="720"/>
        </w:tabs>
        <w:jc w:val="both"/>
        <w:rPr>
          <w:rFonts w:cs="Arial"/>
          <w:sz w:val="16"/>
          <w:szCs w:val="16"/>
        </w:rPr>
      </w:pPr>
    </w:p>
    <w:p w14:paraId="3F2D218E"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Al fallecimiento del pensionado, la aseguradora debe pagar el auxilio funerario a que se refiere el art. 86 de la Ley 100 de 1993 y las pensiones mensuales de sobrevivientes en favor de los beneficiarios por el tiempo a que ellos tengan derecho.</w:t>
      </w:r>
    </w:p>
    <w:p w14:paraId="416D1E0D" w14:textId="77777777" w:rsidR="00B10D26" w:rsidRPr="008270B7" w:rsidRDefault="00B10D26" w:rsidP="008270B7">
      <w:pPr>
        <w:pStyle w:val="Textoindependiente31"/>
        <w:tabs>
          <w:tab w:val="left" w:pos="0"/>
          <w:tab w:val="left" w:pos="720"/>
        </w:tabs>
        <w:rPr>
          <w:rFonts w:cs="Arial"/>
          <w:sz w:val="16"/>
          <w:szCs w:val="16"/>
          <w:lang w:val="es-ES"/>
        </w:rPr>
      </w:pPr>
    </w:p>
    <w:p w14:paraId="1226ADEB"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3.3.2.2.2.2. Pago de las pensiones. Las pensiones que se devenguen en virtud de esta póliza com</w:t>
      </w:r>
      <w:r w:rsidR="00ED470E" w:rsidRPr="008270B7">
        <w:rPr>
          <w:rFonts w:cs="Arial"/>
          <w:sz w:val="16"/>
          <w:szCs w:val="16"/>
        </w:rPr>
        <w:t>i</w:t>
      </w:r>
      <w:r w:rsidRPr="008270B7">
        <w:rPr>
          <w:rFonts w:cs="Arial"/>
          <w:sz w:val="16"/>
          <w:szCs w:val="16"/>
        </w:rPr>
        <w:t xml:space="preserve">enzan a pagarse a más tardar dentro del mes calendario siguiente a la fecha en que se vence el período de diferimiento convenido. En el evento   en que el afiliado fallezca devengando la renta por cuenta de la aseguradora, los beneficiarios </w:t>
      </w:r>
      <w:r w:rsidR="00ED470E" w:rsidRPr="008270B7">
        <w:rPr>
          <w:rFonts w:cs="Arial"/>
          <w:sz w:val="16"/>
          <w:szCs w:val="16"/>
        </w:rPr>
        <w:t xml:space="preserve">deben </w:t>
      </w:r>
      <w:r w:rsidRPr="008270B7">
        <w:rPr>
          <w:rFonts w:cs="Arial"/>
          <w:sz w:val="16"/>
          <w:szCs w:val="16"/>
        </w:rPr>
        <w:t>recibir los pagos dentro del mes siguiente a la fecha en que estos acrediten la muerte del pensionado, sin perjuicio de las pensiones que se devenguen desde la fecha del fallecimiento, no pudiendo en un mismo mes pagarse simultáneamente pensiones al asegurado y a sus beneficiarios.</w:t>
      </w:r>
    </w:p>
    <w:p w14:paraId="70EAD800" w14:textId="77777777" w:rsidR="00B10D26" w:rsidRPr="008270B7" w:rsidRDefault="00B10D26" w:rsidP="008270B7">
      <w:pPr>
        <w:tabs>
          <w:tab w:val="left" w:pos="0"/>
          <w:tab w:val="left" w:pos="720"/>
        </w:tabs>
        <w:jc w:val="both"/>
        <w:rPr>
          <w:rFonts w:cs="Arial"/>
          <w:sz w:val="16"/>
          <w:szCs w:val="16"/>
        </w:rPr>
      </w:pPr>
    </w:p>
    <w:p w14:paraId="7C6D6AB6"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Las pensiones se pagan en el día y lugar que convengan las partes y no devengan intereses ni reajustes por atraso en su cobro, que sean imputables al pensionado o beneficiario. A falta de estipulación en contrario, el pago se debe efectuar el día 20 de cada mes o siguiente día hábil si aquel no fuere hábil, en la oficina de la aseguradora más cercana al domicilio del pensionado o beneficiario, según el caso.</w:t>
      </w:r>
    </w:p>
    <w:p w14:paraId="0CA3CBEB" w14:textId="77777777" w:rsidR="00B10D26" w:rsidRPr="008270B7" w:rsidRDefault="00B10D26" w:rsidP="008270B7">
      <w:pPr>
        <w:tabs>
          <w:tab w:val="left" w:pos="0"/>
          <w:tab w:val="left" w:pos="720"/>
        </w:tabs>
        <w:jc w:val="both"/>
        <w:rPr>
          <w:rFonts w:cs="Arial"/>
          <w:sz w:val="16"/>
          <w:szCs w:val="16"/>
        </w:rPr>
      </w:pPr>
    </w:p>
    <w:p w14:paraId="02D2BD55"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Las pensiones de sobrevivientes de los hijos incapaces del pensionado fallecido se </w:t>
      </w:r>
      <w:r w:rsidR="00ED470E" w:rsidRPr="008270B7">
        <w:rPr>
          <w:rFonts w:cs="Arial"/>
          <w:sz w:val="16"/>
          <w:szCs w:val="16"/>
        </w:rPr>
        <w:t xml:space="preserve">deben </w:t>
      </w:r>
      <w:r w:rsidRPr="008270B7">
        <w:rPr>
          <w:rFonts w:cs="Arial"/>
          <w:sz w:val="16"/>
          <w:szCs w:val="16"/>
        </w:rPr>
        <w:t>pagar a quien los represente legalmente.</w:t>
      </w:r>
    </w:p>
    <w:p w14:paraId="69B619E0" w14:textId="77777777" w:rsidR="00B10D26" w:rsidRPr="008270B7" w:rsidRDefault="00B10D26" w:rsidP="008270B7">
      <w:pPr>
        <w:tabs>
          <w:tab w:val="left" w:pos="0"/>
          <w:tab w:val="left" w:pos="720"/>
        </w:tabs>
        <w:jc w:val="both"/>
        <w:rPr>
          <w:rFonts w:cs="Arial"/>
          <w:sz w:val="16"/>
          <w:szCs w:val="16"/>
        </w:rPr>
      </w:pPr>
    </w:p>
    <w:p w14:paraId="0A0BA8D5"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3.3.2.2.2.3 Fecha de vigencia inicial. Este seguro </w:t>
      </w:r>
      <w:proofErr w:type="gramStart"/>
      <w:r w:rsidRPr="008270B7">
        <w:rPr>
          <w:rFonts w:cs="Arial"/>
          <w:sz w:val="16"/>
          <w:szCs w:val="16"/>
        </w:rPr>
        <w:t>entra en vigencia</w:t>
      </w:r>
      <w:proofErr w:type="gramEnd"/>
      <w:r w:rsidRPr="008270B7">
        <w:rPr>
          <w:rFonts w:cs="Arial"/>
          <w:sz w:val="16"/>
          <w:szCs w:val="16"/>
        </w:rPr>
        <w:t xml:space="preserve"> a partir de la fecha en que se haya efectuado el traspaso de la prima única por parte de la administradora a la cual se encuentre incorporado el afiliado.</w:t>
      </w:r>
    </w:p>
    <w:p w14:paraId="7C58A08F" w14:textId="77777777" w:rsidR="00B10D26" w:rsidRPr="008270B7" w:rsidRDefault="00B10D26" w:rsidP="008270B7">
      <w:pPr>
        <w:tabs>
          <w:tab w:val="left" w:pos="0"/>
          <w:tab w:val="left" w:pos="720"/>
        </w:tabs>
        <w:jc w:val="both"/>
        <w:rPr>
          <w:rFonts w:cs="Arial"/>
          <w:sz w:val="16"/>
          <w:szCs w:val="16"/>
        </w:rPr>
      </w:pPr>
    </w:p>
    <w:p w14:paraId="6F147C17" w14:textId="77777777" w:rsidR="00B10D26" w:rsidRPr="008270B7" w:rsidRDefault="00B10D26" w:rsidP="008270B7">
      <w:pPr>
        <w:pStyle w:val="Textoindependiente21"/>
        <w:tabs>
          <w:tab w:val="clear" w:pos="851"/>
          <w:tab w:val="left" w:pos="0"/>
          <w:tab w:val="left" w:pos="720"/>
        </w:tabs>
        <w:rPr>
          <w:rFonts w:cs="Arial"/>
          <w:sz w:val="16"/>
          <w:szCs w:val="16"/>
          <w:lang w:val="es-ES"/>
        </w:rPr>
      </w:pPr>
      <w:r w:rsidRPr="008270B7">
        <w:rPr>
          <w:rFonts w:cs="Arial"/>
          <w:sz w:val="16"/>
          <w:szCs w:val="16"/>
          <w:lang w:val="es-ES"/>
        </w:rPr>
        <w:t xml:space="preserve">Las pensiones se devengan a partir de la fecha convenida entre el asegurado y la </w:t>
      </w:r>
      <w:r w:rsidR="00535EFF" w:rsidRPr="008270B7">
        <w:rPr>
          <w:rFonts w:cs="Arial"/>
          <w:sz w:val="16"/>
          <w:szCs w:val="16"/>
          <w:lang w:val="es-ES"/>
        </w:rPr>
        <w:t>aseguradora</w:t>
      </w:r>
      <w:r w:rsidRPr="008270B7">
        <w:rPr>
          <w:rFonts w:cs="Arial"/>
          <w:sz w:val="16"/>
          <w:szCs w:val="16"/>
          <w:lang w:val="es-ES"/>
        </w:rPr>
        <w:t>, señalada en las condiciones particulares de la póliza.</w:t>
      </w:r>
    </w:p>
    <w:p w14:paraId="7FE97F27" w14:textId="77777777" w:rsidR="00B10D26" w:rsidRPr="008270B7" w:rsidRDefault="00B10D26" w:rsidP="008270B7">
      <w:pPr>
        <w:tabs>
          <w:tab w:val="left" w:pos="0"/>
          <w:tab w:val="left" w:pos="720"/>
        </w:tabs>
        <w:jc w:val="both"/>
        <w:rPr>
          <w:rFonts w:cs="Arial"/>
          <w:sz w:val="16"/>
          <w:szCs w:val="16"/>
        </w:rPr>
      </w:pPr>
    </w:p>
    <w:p w14:paraId="3BC004A9" w14:textId="77777777" w:rsidR="00B10D26" w:rsidRPr="008270B7" w:rsidRDefault="00B10D26" w:rsidP="008270B7">
      <w:pPr>
        <w:pStyle w:val="Textoindependiente21"/>
        <w:tabs>
          <w:tab w:val="clear" w:pos="851"/>
          <w:tab w:val="left" w:pos="0"/>
          <w:tab w:val="left" w:pos="720"/>
        </w:tabs>
        <w:rPr>
          <w:rFonts w:cs="Arial"/>
          <w:sz w:val="16"/>
          <w:szCs w:val="16"/>
          <w:lang w:val="es-ES"/>
        </w:rPr>
      </w:pPr>
      <w:r w:rsidRPr="008270B7">
        <w:rPr>
          <w:rFonts w:cs="Arial"/>
          <w:sz w:val="16"/>
          <w:szCs w:val="16"/>
          <w:lang w:val="es-ES"/>
        </w:rPr>
        <w:t xml:space="preserve">No se </w:t>
      </w:r>
      <w:r w:rsidR="004A4D2E" w:rsidRPr="008270B7">
        <w:rPr>
          <w:rFonts w:cs="Arial"/>
          <w:sz w:val="16"/>
          <w:szCs w:val="16"/>
          <w:lang w:val="es-ES"/>
        </w:rPr>
        <w:t xml:space="preserve">deben </w:t>
      </w:r>
      <w:r w:rsidRPr="008270B7">
        <w:rPr>
          <w:rFonts w:cs="Arial"/>
          <w:sz w:val="16"/>
          <w:szCs w:val="16"/>
          <w:lang w:val="es-ES"/>
        </w:rPr>
        <w:t>pagar las pensiones de sobrevivientes señaladas en el inciso anterior en el mismo mes en que se paguen pensiones de vejez o invalidez.</w:t>
      </w:r>
    </w:p>
    <w:p w14:paraId="507FAD39" w14:textId="77777777" w:rsidR="00B10D26" w:rsidRPr="008270B7" w:rsidRDefault="00B10D26" w:rsidP="008270B7">
      <w:pPr>
        <w:tabs>
          <w:tab w:val="left" w:pos="0"/>
          <w:tab w:val="left" w:pos="720"/>
        </w:tabs>
        <w:jc w:val="both"/>
        <w:rPr>
          <w:rFonts w:cs="Arial"/>
          <w:sz w:val="16"/>
          <w:szCs w:val="16"/>
        </w:rPr>
      </w:pPr>
    </w:p>
    <w:p w14:paraId="4D2537C7"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3.3.2.2.2.4. Anticipo de las pensiones. El asegurado puede anticipar la fecha a partir de la cual la aseguradora </w:t>
      </w:r>
      <w:r w:rsidR="004A4D2E" w:rsidRPr="008270B7">
        <w:rPr>
          <w:rFonts w:cs="Arial"/>
          <w:sz w:val="16"/>
          <w:szCs w:val="16"/>
        </w:rPr>
        <w:t xml:space="preserve">debe </w:t>
      </w:r>
      <w:r w:rsidRPr="008270B7">
        <w:rPr>
          <w:rFonts w:cs="Arial"/>
          <w:sz w:val="16"/>
          <w:szCs w:val="16"/>
        </w:rPr>
        <w:t>iniciar el pago de la renta vitalicia diferida, siguiendo alguno de los siguientes procedimientos:</w:t>
      </w:r>
    </w:p>
    <w:p w14:paraId="27D99F7E" w14:textId="77777777" w:rsidR="00B10D26" w:rsidRPr="008270B7" w:rsidRDefault="00B10D26" w:rsidP="008270B7">
      <w:pPr>
        <w:tabs>
          <w:tab w:val="left" w:pos="0"/>
          <w:tab w:val="left" w:pos="720"/>
        </w:tabs>
        <w:jc w:val="both"/>
        <w:rPr>
          <w:rFonts w:cs="Arial"/>
          <w:sz w:val="16"/>
          <w:szCs w:val="16"/>
        </w:rPr>
      </w:pPr>
    </w:p>
    <w:p w14:paraId="62C86236"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3.3.2.2.2.4.1. Disminuyendo el monto de la renta convenida, la cual no puede ser inferior a la pensión mínima de vejez vigente.</w:t>
      </w:r>
    </w:p>
    <w:p w14:paraId="3C6CAFB9" w14:textId="77777777" w:rsidR="00B10D26" w:rsidRPr="008270B7" w:rsidRDefault="00B10D26" w:rsidP="008270B7">
      <w:pPr>
        <w:tabs>
          <w:tab w:val="left" w:pos="0"/>
          <w:tab w:val="left" w:pos="720"/>
        </w:tabs>
        <w:jc w:val="both"/>
        <w:rPr>
          <w:rFonts w:cs="Arial"/>
          <w:sz w:val="16"/>
          <w:szCs w:val="16"/>
        </w:rPr>
      </w:pPr>
    </w:p>
    <w:p w14:paraId="309E1A95" w14:textId="77777777" w:rsidR="00B10D26" w:rsidRPr="008270B7" w:rsidRDefault="00B10D26" w:rsidP="008270B7">
      <w:pPr>
        <w:pStyle w:val="Textoindependiente21"/>
        <w:tabs>
          <w:tab w:val="clear" w:pos="851"/>
          <w:tab w:val="left" w:pos="720"/>
        </w:tabs>
        <w:rPr>
          <w:rFonts w:cs="Arial"/>
          <w:sz w:val="16"/>
          <w:szCs w:val="16"/>
          <w:lang w:val="es-ES"/>
        </w:rPr>
      </w:pPr>
      <w:r w:rsidRPr="008270B7">
        <w:rPr>
          <w:rFonts w:cs="Arial"/>
          <w:sz w:val="16"/>
          <w:szCs w:val="16"/>
          <w:lang w:val="es-ES"/>
        </w:rPr>
        <w:t>3.3.2.2.2.4.2. Pagando una prima adicional con cargo al saldo que se mantuviere en las cuentas individuales de ahorro pensional en la sociedad que administre el fondo de pensiones en que se encuentre afiliado.</w:t>
      </w:r>
    </w:p>
    <w:p w14:paraId="3C6E9FD2" w14:textId="77777777" w:rsidR="00B10D26" w:rsidRPr="008270B7" w:rsidRDefault="00B10D26" w:rsidP="008270B7">
      <w:pPr>
        <w:tabs>
          <w:tab w:val="left" w:pos="0"/>
          <w:tab w:val="left" w:pos="720"/>
        </w:tabs>
        <w:jc w:val="both"/>
        <w:rPr>
          <w:rFonts w:cs="Arial"/>
          <w:sz w:val="16"/>
          <w:szCs w:val="16"/>
        </w:rPr>
      </w:pPr>
    </w:p>
    <w:p w14:paraId="7AF5FF05" w14:textId="77777777" w:rsidR="00B10D26" w:rsidRPr="008270B7" w:rsidRDefault="00B10D26" w:rsidP="008270B7">
      <w:pPr>
        <w:tabs>
          <w:tab w:val="left" w:pos="720"/>
        </w:tabs>
        <w:jc w:val="both"/>
        <w:rPr>
          <w:rFonts w:cs="Arial"/>
          <w:sz w:val="16"/>
          <w:szCs w:val="16"/>
        </w:rPr>
      </w:pPr>
      <w:r w:rsidRPr="008270B7">
        <w:rPr>
          <w:rFonts w:cs="Arial"/>
          <w:sz w:val="16"/>
          <w:szCs w:val="16"/>
        </w:rPr>
        <w:t>3.3.2.2.2.4.3. Una combinación de los anteriores.</w:t>
      </w:r>
    </w:p>
    <w:p w14:paraId="4A456AD0" w14:textId="77777777" w:rsidR="00B10D26" w:rsidRPr="008270B7" w:rsidRDefault="00B10D26" w:rsidP="008270B7">
      <w:pPr>
        <w:tabs>
          <w:tab w:val="left" w:pos="0"/>
          <w:tab w:val="left" w:pos="720"/>
        </w:tabs>
        <w:jc w:val="both"/>
        <w:rPr>
          <w:rFonts w:cs="Arial"/>
          <w:sz w:val="16"/>
          <w:szCs w:val="16"/>
        </w:rPr>
      </w:pPr>
    </w:p>
    <w:p w14:paraId="641F7B1D"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3.3.2.2.2.5. Aplicación de otras condiciones. A las pólizas de renta vitalicia diferida le son aplicables en lo pertinente las previsiones contenidas en el </w:t>
      </w:r>
      <w:proofErr w:type="spellStart"/>
      <w:r w:rsidR="008C2BF8" w:rsidRPr="008270B7">
        <w:rPr>
          <w:rFonts w:cs="Arial"/>
          <w:sz w:val="16"/>
          <w:szCs w:val="16"/>
        </w:rPr>
        <w:t>sub</w:t>
      </w:r>
      <w:r w:rsidRPr="008270B7">
        <w:rPr>
          <w:rFonts w:cs="Arial"/>
          <w:sz w:val="16"/>
          <w:szCs w:val="16"/>
        </w:rPr>
        <w:t>numeral</w:t>
      </w:r>
      <w:proofErr w:type="spellEnd"/>
      <w:r w:rsidRPr="008270B7">
        <w:rPr>
          <w:rFonts w:cs="Arial"/>
          <w:sz w:val="16"/>
          <w:szCs w:val="16"/>
        </w:rPr>
        <w:t xml:space="preserve"> 3.3.2.2. </w:t>
      </w:r>
      <w:r w:rsidR="004A4D2E" w:rsidRPr="008270B7">
        <w:rPr>
          <w:rFonts w:cs="Arial"/>
          <w:sz w:val="16"/>
          <w:szCs w:val="16"/>
        </w:rPr>
        <w:t xml:space="preserve">del </w:t>
      </w:r>
      <w:r w:rsidRPr="008270B7">
        <w:rPr>
          <w:rFonts w:cs="Arial"/>
          <w:sz w:val="16"/>
          <w:szCs w:val="16"/>
        </w:rPr>
        <w:t xml:space="preserve">presente </w:t>
      </w:r>
      <w:r w:rsidR="008C2BF8" w:rsidRPr="008270B7">
        <w:rPr>
          <w:rFonts w:cs="Arial"/>
          <w:sz w:val="16"/>
          <w:szCs w:val="16"/>
        </w:rPr>
        <w:t>C</w:t>
      </w:r>
      <w:r w:rsidRPr="008270B7">
        <w:rPr>
          <w:rFonts w:cs="Arial"/>
          <w:sz w:val="16"/>
          <w:szCs w:val="16"/>
        </w:rPr>
        <w:t>apítulo.</w:t>
      </w:r>
    </w:p>
    <w:p w14:paraId="26C2E14D" w14:textId="77777777" w:rsidR="00B10D26" w:rsidRPr="008270B7" w:rsidRDefault="00B10D26" w:rsidP="008270B7">
      <w:pPr>
        <w:pStyle w:val="Textoindependiente31"/>
        <w:tabs>
          <w:tab w:val="left" w:pos="0"/>
          <w:tab w:val="left" w:pos="720"/>
        </w:tabs>
        <w:rPr>
          <w:rFonts w:cs="Arial"/>
          <w:sz w:val="16"/>
          <w:szCs w:val="16"/>
          <w:lang w:val="es-ES"/>
        </w:rPr>
      </w:pPr>
    </w:p>
    <w:p w14:paraId="1D4A11AE" w14:textId="77777777" w:rsidR="00B10D26" w:rsidRPr="008270B7" w:rsidRDefault="00B10D26" w:rsidP="008270B7">
      <w:pPr>
        <w:tabs>
          <w:tab w:val="left" w:pos="0"/>
          <w:tab w:val="left" w:pos="720"/>
        </w:tabs>
        <w:jc w:val="both"/>
        <w:rPr>
          <w:rFonts w:cs="Arial"/>
          <w:sz w:val="16"/>
          <w:szCs w:val="16"/>
        </w:rPr>
      </w:pPr>
      <w:r w:rsidRPr="008270B7">
        <w:rPr>
          <w:rFonts w:cs="Arial"/>
          <w:sz w:val="16"/>
          <w:szCs w:val="16"/>
        </w:rPr>
        <w:t xml:space="preserve">3.3.2.2.2.6. Reclamaciones. Los trámites o reclamaciones que deben formularse ante la entidad aseguradora en virtud de los planes de pensiones aquí </w:t>
      </w:r>
      <w:proofErr w:type="gramStart"/>
      <w:r w:rsidRPr="008270B7">
        <w:rPr>
          <w:rFonts w:cs="Arial"/>
          <w:sz w:val="16"/>
          <w:szCs w:val="16"/>
        </w:rPr>
        <w:t>regulados,</w:t>
      </w:r>
      <w:proofErr w:type="gramEnd"/>
      <w:r w:rsidRPr="008270B7">
        <w:rPr>
          <w:rFonts w:cs="Arial"/>
          <w:sz w:val="16"/>
          <w:szCs w:val="16"/>
        </w:rPr>
        <w:t xml:space="preserve"> s</w:t>
      </w:r>
      <w:r w:rsidR="004A4D2E" w:rsidRPr="008270B7">
        <w:rPr>
          <w:rFonts w:cs="Arial"/>
          <w:sz w:val="16"/>
          <w:szCs w:val="16"/>
        </w:rPr>
        <w:t>o</w:t>
      </w:r>
      <w:r w:rsidRPr="008270B7">
        <w:rPr>
          <w:rFonts w:cs="Arial"/>
          <w:sz w:val="16"/>
          <w:szCs w:val="16"/>
        </w:rPr>
        <w:t xml:space="preserve">n realizadas por la administradora a nombre del pensionado, hasta la contratación de la renta vitalicia, momento en el cual las reclamaciones deben hacerse directamente a la seguradora por parte del pensionado, a menos </w:t>
      </w:r>
      <w:proofErr w:type="gramStart"/>
      <w:r w:rsidRPr="008270B7">
        <w:rPr>
          <w:rFonts w:cs="Arial"/>
          <w:sz w:val="16"/>
          <w:szCs w:val="16"/>
        </w:rPr>
        <w:t>que  la</w:t>
      </w:r>
      <w:proofErr w:type="gramEnd"/>
      <w:r w:rsidRPr="008270B7">
        <w:rPr>
          <w:rFonts w:cs="Arial"/>
          <w:sz w:val="16"/>
          <w:szCs w:val="16"/>
        </w:rPr>
        <w:t xml:space="preserve"> reclamación conlleve responsabilidad de la AFP, en cuyo caso ésta debe intervenir a fin de salvaguardar los intereses del pensionado.</w:t>
      </w:r>
    </w:p>
    <w:p w14:paraId="3D94F75C" w14:textId="77777777" w:rsidR="00B10D26" w:rsidRPr="008270B7" w:rsidRDefault="00B10D26" w:rsidP="008270B7">
      <w:pPr>
        <w:tabs>
          <w:tab w:val="left" w:pos="0"/>
          <w:tab w:val="left" w:pos="720"/>
        </w:tabs>
        <w:jc w:val="both"/>
        <w:rPr>
          <w:rFonts w:cs="Arial"/>
          <w:sz w:val="16"/>
          <w:szCs w:val="16"/>
        </w:rPr>
      </w:pPr>
    </w:p>
    <w:p w14:paraId="16E25246" w14:textId="77777777" w:rsidR="00B10D26" w:rsidRPr="008270B7" w:rsidRDefault="00B10D26" w:rsidP="008270B7">
      <w:pPr>
        <w:pStyle w:val="Ttulo2"/>
        <w:jc w:val="both"/>
        <w:rPr>
          <w:b w:val="0"/>
          <w:bCs w:val="0"/>
          <w:szCs w:val="16"/>
        </w:rPr>
      </w:pPr>
      <w:bookmarkStart w:id="17" w:name="_Toc269950169"/>
      <w:r w:rsidRPr="008270B7">
        <w:rPr>
          <w:b w:val="0"/>
          <w:bCs w:val="0"/>
          <w:szCs w:val="16"/>
        </w:rPr>
        <w:t>3.4. Reglas aplicables al seguro de riesgos laborales</w:t>
      </w:r>
      <w:bookmarkEnd w:id="17"/>
      <w:r w:rsidRPr="008270B7">
        <w:rPr>
          <w:b w:val="0"/>
          <w:bCs w:val="0"/>
          <w:szCs w:val="16"/>
        </w:rPr>
        <w:t xml:space="preserve"> </w:t>
      </w:r>
    </w:p>
    <w:p w14:paraId="037B16B5" w14:textId="77777777" w:rsidR="00B10D26" w:rsidRPr="008270B7" w:rsidRDefault="00B10D26" w:rsidP="008270B7">
      <w:pPr>
        <w:tabs>
          <w:tab w:val="left" w:pos="720"/>
        </w:tabs>
        <w:ind w:right="51"/>
        <w:jc w:val="both"/>
        <w:rPr>
          <w:rFonts w:cs="Arial"/>
          <w:sz w:val="16"/>
          <w:szCs w:val="16"/>
        </w:rPr>
      </w:pPr>
    </w:p>
    <w:p w14:paraId="2422D7FA"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3.4.1. Autorización del ramo</w:t>
      </w:r>
    </w:p>
    <w:p w14:paraId="67C44A77" w14:textId="77777777" w:rsidR="00B10D26" w:rsidRPr="008270B7" w:rsidRDefault="00B10D26" w:rsidP="008270B7">
      <w:pPr>
        <w:tabs>
          <w:tab w:val="left" w:pos="720"/>
        </w:tabs>
        <w:ind w:right="51"/>
        <w:jc w:val="both"/>
        <w:rPr>
          <w:rFonts w:cs="Arial"/>
          <w:sz w:val="16"/>
          <w:szCs w:val="16"/>
        </w:rPr>
      </w:pPr>
    </w:p>
    <w:p w14:paraId="70699D5B"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 xml:space="preserve">En las solicitudes de autorización para la operación del ramo de seguro de riesgos laborales deben acreditarse, además de </w:t>
      </w:r>
      <w:proofErr w:type="gramStart"/>
      <w:r w:rsidRPr="008270B7">
        <w:rPr>
          <w:rFonts w:cs="Arial"/>
          <w:sz w:val="16"/>
          <w:szCs w:val="16"/>
        </w:rPr>
        <w:t>los  requerimientos</w:t>
      </w:r>
      <w:proofErr w:type="gramEnd"/>
      <w:r w:rsidRPr="008270B7">
        <w:rPr>
          <w:rFonts w:cs="Arial"/>
          <w:sz w:val="16"/>
          <w:szCs w:val="16"/>
        </w:rPr>
        <w:t xml:space="preserve"> señalados en la ley y en el </w:t>
      </w:r>
      <w:proofErr w:type="spellStart"/>
      <w:r w:rsidR="00AA3347" w:rsidRPr="008270B7">
        <w:rPr>
          <w:rFonts w:cs="Arial"/>
          <w:sz w:val="16"/>
          <w:szCs w:val="16"/>
        </w:rPr>
        <w:t>sub</w:t>
      </w:r>
      <w:r w:rsidRPr="008270B7">
        <w:rPr>
          <w:rFonts w:cs="Arial"/>
          <w:sz w:val="16"/>
          <w:szCs w:val="16"/>
        </w:rPr>
        <w:t>numeral</w:t>
      </w:r>
      <w:proofErr w:type="spellEnd"/>
      <w:r w:rsidRPr="008270B7">
        <w:rPr>
          <w:rFonts w:cs="Arial"/>
          <w:sz w:val="16"/>
          <w:szCs w:val="16"/>
        </w:rPr>
        <w:t xml:space="preserve"> 1.1 del presente Capítulo, salvo lo dispuesto </w:t>
      </w:r>
      <w:proofErr w:type="gramStart"/>
      <w:r w:rsidRPr="008270B7">
        <w:rPr>
          <w:rFonts w:cs="Arial"/>
          <w:sz w:val="16"/>
          <w:szCs w:val="16"/>
        </w:rPr>
        <w:t xml:space="preserve">en </w:t>
      </w:r>
      <w:r w:rsidR="008C2BF8" w:rsidRPr="008270B7">
        <w:rPr>
          <w:rFonts w:cs="Arial"/>
          <w:sz w:val="16"/>
          <w:szCs w:val="16"/>
        </w:rPr>
        <w:t xml:space="preserve">relación </w:t>
      </w:r>
      <w:r w:rsidRPr="008270B7">
        <w:rPr>
          <w:rFonts w:cs="Arial"/>
          <w:sz w:val="16"/>
          <w:szCs w:val="16"/>
        </w:rPr>
        <w:t>a</w:t>
      </w:r>
      <w:proofErr w:type="gramEnd"/>
      <w:r w:rsidRPr="008270B7">
        <w:rPr>
          <w:rFonts w:cs="Arial"/>
          <w:sz w:val="16"/>
          <w:szCs w:val="16"/>
        </w:rPr>
        <w:t xml:space="preserve"> la remisión del modelo de póliza, los siguientes:</w:t>
      </w:r>
    </w:p>
    <w:p w14:paraId="1EC69C01" w14:textId="77777777" w:rsidR="00B10D26" w:rsidRPr="008270B7" w:rsidRDefault="00B10D26" w:rsidP="008270B7">
      <w:pPr>
        <w:tabs>
          <w:tab w:val="left" w:pos="720"/>
        </w:tabs>
        <w:ind w:right="51"/>
        <w:jc w:val="both"/>
        <w:rPr>
          <w:rFonts w:cs="Arial"/>
          <w:sz w:val="16"/>
          <w:szCs w:val="16"/>
        </w:rPr>
      </w:pPr>
    </w:p>
    <w:p w14:paraId="445B943A"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3.4.1.1. Capacidad Administrativa. Se deben acreditar ante la SFC las medidas que se hayan adoptado para efectuar el control estadístico a que alude el art. 61 del Decreto 1295 de 1994 o la norma que lo sustituya.</w:t>
      </w:r>
    </w:p>
    <w:p w14:paraId="085241F3" w14:textId="77777777" w:rsidR="00B10D26" w:rsidRPr="008270B7" w:rsidRDefault="00B10D26" w:rsidP="008270B7">
      <w:pPr>
        <w:tabs>
          <w:tab w:val="left" w:pos="720"/>
        </w:tabs>
        <w:ind w:right="51"/>
        <w:jc w:val="both"/>
        <w:rPr>
          <w:rFonts w:cs="Arial"/>
          <w:sz w:val="16"/>
          <w:szCs w:val="16"/>
        </w:rPr>
      </w:pPr>
    </w:p>
    <w:p w14:paraId="56B8C8B0"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3.4.1.2. Capacidad humana y técnica especializada suficiente para cumplir adecuadamente con la administración del Sistema General de Riesgos Laborales</w:t>
      </w:r>
      <w:r w:rsidR="00AA3347" w:rsidRPr="008270B7">
        <w:rPr>
          <w:rFonts w:cs="Arial"/>
          <w:sz w:val="16"/>
          <w:szCs w:val="16"/>
        </w:rPr>
        <w:t xml:space="preserve"> - SGRL</w:t>
      </w:r>
      <w:r w:rsidRPr="008270B7">
        <w:rPr>
          <w:rFonts w:cs="Arial"/>
          <w:sz w:val="16"/>
          <w:szCs w:val="16"/>
        </w:rPr>
        <w:t>.</w:t>
      </w:r>
    </w:p>
    <w:p w14:paraId="09F7F7BC" w14:textId="77777777" w:rsidR="00B10D26" w:rsidRPr="008270B7" w:rsidRDefault="00B10D26" w:rsidP="008270B7">
      <w:pPr>
        <w:tabs>
          <w:tab w:val="left" w:pos="720"/>
        </w:tabs>
        <w:ind w:right="51"/>
        <w:jc w:val="both"/>
        <w:rPr>
          <w:rFonts w:cs="Arial"/>
          <w:sz w:val="16"/>
          <w:szCs w:val="16"/>
        </w:rPr>
      </w:pPr>
    </w:p>
    <w:p w14:paraId="08E79B13" w14:textId="77777777" w:rsidR="00026038" w:rsidRPr="008270B7" w:rsidRDefault="00026038" w:rsidP="008270B7">
      <w:pPr>
        <w:tabs>
          <w:tab w:val="left" w:pos="720"/>
        </w:tabs>
        <w:ind w:right="51"/>
        <w:jc w:val="both"/>
        <w:rPr>
          <w:rFonts w:cs="Arial"/>
          <w:sz w:val="16"/>
          <w:szCs w:val="16"/>
        </w:rPr>
      </w:pPr>
    </w:p>
    <w:p w14:paraId="3834EF16" w14:textId="77777777" w:rsidR="002C63C2" w:rsidRPr="008270B7" w:rsidRDefault="002C63C2" w:rsidP="008270B7">
      <w:pPr>
        <w:tabs>
          <w:tab w:val="left" w:pos="720"/>
        </w:tabs>
        <w:ind w:right="51"/>
        <w:jc w:val="both"/>
        <w:rPr>
          <w:rFonts w:cs="Arial"/>
          <w:sz w:val="16"/>
          <w:szCs w:val="16"/>
        </w:rPr>
      </w:pPr>
    </w:p>
    <w:p w14:paraId="61C4E7E5"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 xml:space="preserve">Prestación de servicios de promoción y prevención. Se debe detallar la conformación, dentro de la estructura organizacional de la entidad, de un departamento de prevención de riesgos laborales que cumpla las funciones establecidas en el art. 11 de la Ley 1562 de 2012. Esta explicación debe contener, por lo menos, una descripción de la estructura organizacional que la entidad aseguradora ha definido para cumplir con estas funciones, así como el perfil de las personas que desarrollarán funciones dentro </w:t>
      </w:r>
      <w:proofErr w:type="gramStart"/>
      <w:r w:rsidRPr="008270B7">
        <w:rPr>
          <w:rFonts w:cs="Arial"/>
          <w:sz w:val="16"/>
          <w:szCs w:val="16"/>
        </w:rPr>
        <w:t>de  la</w:t>
      </w:r>
      <w:proofErr w:type="gramEnd"/>
      <w:r w:rsidRPr="008270B7">
        <w:rPr>
          <w:rFonts w:cs="Arial"/>
          <w:sz w:val="16"/>
          <w:szCs w:val="16"/>
        </w:rPr>
        <w:t xml:space="preserve"> estructura planteada para tales fines.</w:t>
      </w:r>
    </w:p>
    <w:p w14:paraId="5A013247" w14:textId="77777777" w:rsidR="00026038" w:rsidRPr="008270B7" w:rsidRDefault="00026038" w:rsidP="008270B7">
      <w:pPr>
        <w:tabs>
          <w:tab w:val="left" w:pos="720"/>
        </w:tabs>
        <w:ind w:right="51"/>
        <w:jc w:val="both"/>
        <w:rPr>
          <w:rFonts w:cs="Arial"/>
          <w:sz w:val="16"/>
          <w:szCs w:val="16"/>
        </w:rPr>
      </w:pPr>
    </w:p>
    <w:p w14:paraId="7AF2B1D2" w14:textId="77777777" w:rsidR="00B10D26" w:rsidRPr="008270B7" w:rsidRDefault="00B10D26" w:rsidP="008270B7">
      <w:pPr>
        <w:tabs>
          <w:tab w:val="left" w:pos="720"/>
        </w:tabs>
        <w:ind w:right="51"/>
        <w:jc w:val="both"/>
        <w:rPr>
          <w:rFonts w:cs="Arial"/>
          <w:sz w:val="16"/>
          <w:szCs w:val="16"/>
        </w:rPr>
      </w:pPr>
      <w:r w:rsidRPr="008270B7">
        <w:rPr>
          <w:rFonts w:cs="Arial"/>
          <w:sz w:val="16"/>
          <w:szCs w:val="16"/>
        </w:rPr>
        <w:t xml:space="preserve">En caso de que se decida prestar estos servicios mediante el concurso de terceras personas, éstas deben contar con licencia expedida por el Ministerio de Salud y Protección Social para la prestación de servicios de salud ocupacional a terceros, de conformidad con el art. 23 de la citada Ley 1562, para lo cual se hace necesario informar dicha circunstancia con precisión  del acto por el cual se autorizó, así como del contrato o arreglo suscrito con la entidad para la prestación de estos servicios. </w:t>
      </w:r>
    </w:p>
    <w:p w14:paraId="4B9CB1EF" w14:textId="77777777" w:rsidR="00B10D26" w:rsidRPr="008270B7" w:rsidRDefault="00B10D26" w:rsidP="008270B7">
      <w:pPr>
        <w:tabs>
          <w:tab w:val="left" w:pos="720"/>
        </w:tabs>
        <w:ind w:right="51"/>
        <w:jc w:val="both"/>
        <w:rPr>
          <w:rFonts w:cs="Arial"/>
          <w:sz w:val="16"/>
          <w:szCs w:val="16"/>
        </w:rPr>
      </w:pPr>
    </w:p>
    <w:p w14:paraId="55630659" w14:textId="77777777" w:rsidR="00B10D26" w:rsidRPr="008270B7" w:rsidRDefault="00B10D26" w:rsidP="008270B7">
      <w:pPr>
        <w:tabs>
          <w:tab w:val="left" w:pos="0"/>
          <w:tab w:val="left" w:pos="720"/>
        </w:tabs>
        <w:ind w:right="51"/>
        <w:jc w:val="both"/>
        <w:rPr>
          <w:rFonts w:cs="Arial"/>
          <w:sz w:val="16"/>
          <w:szCs w:val="16"/>
        </w:rPr>
      </w:pPr>
      <w:r w:rsidRPr="008270B7">
        <w:rPr>
          <w:rFonts w:cs="Arial"/>
          <w:sz w:val="16"/>
          <w:szCs w:val="16"/>
        </w:rPr>
        <w:t xml:space="preserve">3.4.2. Administración del </w:t>
      </w:r>
      <w:r w:rsidR="00AA3347" w:rsidRPr="008270B7">
        <w:rPr>
          <w:rFonts w:cs="Arial"/>
          <w:sz w:val="16"/>
          <w:szCs w:val="16"/>
        </w:rPr>
        <w:t>s</w:t>
      </w:r>
      <w:r w:rsidRPr="008270B7">
        <w:rPr>
          <w:rFonts w:cs="Arial"/>
          <w:sz w:val="16"/>
          <w:szCs w:val="16"/>
        </w:rPr>
        <w:t xml:space="preserve">istema de </w:t>
      </w:r>
      <w:r w:rsidR="00AA3347" w:rsidRPr="008270B7">
        <w:rPr>
          <w:rFonts w:cs="Arial"/>
          <w:sz w:val="16"/>
          <w:szCs w:val="16"/>
        </w:rPr>
        <w:t>r</w:t>
      </w:r>
      <w:r w:rsidRPr="008270B7">
        <w:rPr>
          <w:rFonts w:cs="Arial"/>
          <w:sz w:val="16"/>
          <w:szCs w:val="16"/>
        </w:rPr>
        <w:t xml:space="preserve">iesgos </w:t>
      </w:r>
      <w:r w:rsidR="00AA3347" w:rsidRPr="008270B7">
        <w:rPr>
          <w:rFonts w:cs="Arial"/>
          <w:sz w:val="16"/>
          <w:szCs w:val="16"/>
        </w:rPr>
        <w:t>l</w:t>
      </w:r>
      <w:r w:rsidRPr="008270B7">
        <w:rPr>
          <w:rFonts w:cs="Arial"/>
          <w:sz w:val="16"/>
          <w:szCs w:val="16"/>
        </w:rPr>
        <w:t xml:space="preserve">aborales </w:t>
      </w:r>
    </w:p>
    <w:p w14:paraId="52F76D15" w14:textId="77777777" w:rsidR="00B10D26" w:rsidRPr="008270B7" w:rsidRDefault="00B10D26" w:rsidP="008270B7">
      <w:pPr>
        <w:tabs>
          <w:tab w:val="left" w:pos="720"/>
          <w:tab w:val="left" w:pos="1064"/>
          <w:tab w:val="left" w:pos="2057"/>
        </w:tabs>
        <w:ind w:right="51"/>
        <w:jc w:val="both"/>
        <w:rPr>
          <w:rFonts w:cs="Arial"/>
          <w:sz w:val="16"/>
          <w:szCs w:val="16"/>
        </w:rPr>
      </w:pPr>
    </w:p>
    <w:p w14:paraId="792095EB"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3.4.2.1. Vinculación y desvinculación al </w:t>
      </w:r>
      <w:r w:rsidR="00AA3347" w:rsidRPr="008270B7">
        <w:rPr>
          <w:rFonts w:cs="Arial"/>
          <w:sz w:val="16"/>
          <w:szCs w:val="16"/>
        </w:rPr>
        <w:t>SGRL</w:t>
      </w:r>
    </w:p>
    <w:p w14:paraId="722449A9" w14:textId="77777777" w:rsidR="00B10D26" w:rsidRPr="008270B7" w:rsidRDefault="00B10D26" w:rsidP="008270B7">
      <w:pPr>
        <w:keepLines/>
        <w:tabs>
          <w:tab w:val="left" w:pos="720"/>
        </w:tabs>
        <w:ind w:right="51"/>
        <w:jc w:val="both"/>
        <w:rPr>
          <w:rFonts w:cs="Arial"/>
          <w:sz w:val="16"/>
          <w:szCs w:val="16"/>
        </w:rPr>
      </w:pPr>
    </w:p>
    <w:p w14:paraId="752ACACF"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3.4.2.1.1. Afiliación. La afiliación al </w:t>
      </w:r>
      <w:r w:rsidR="00AA3347" w:rsidRPr="008270B7">
        <w:rPr>
          <w:rFonts w:cs="Arial"/>
          <w:sz w:val="16"/>
          <w:szCs w:val="16"/>
        </w:rPr>
        <w:t>SGRL</w:t>
      </w:r>
      <w:r w:rsidRPr="008270B7">
        <w:rPr>
          <w:rFonts w:cs="Arial"/>
          <w:sz w:val="16"/>
          <w:szCs w:val="16"/>
        </w:rPr>
        <w:t xml:space="preserve"> se debe efectuar mediante el diligenciamiento del formulario único de afiliación, retiro y novedades de trabajadores y contratistas al </w:t>
      </w:r>
      <w:r w:rsidR="00AA3347" w:rsidRPr="008270B7">
        <w:rPr>
          <w:rFonts w:cs="Arial"/>
          <w:sz w:val="16"/>
          <w:szCs w:val="16"/>
        </w:rPr>
        <w:t>s</w:t>
      </w:r>
      <w:r w:rsidRPr="008270B7">
        <w:rPr>
          <w:rFonts w:cs="Arial"/>
          <w:sz w:val="16"/>
          <w:szCs w:val="16"/>
        </w:rPr>
        <w:t>istema, definido por el Ministerio de Salud y Protección Social.</w:t>
      </w:r>
    </w:p>
    <w:p w14:paraId="05B34F21" w14:textId="77777777" w:rsidR="00B10D26" w:rsidRPr="008270B7" w:rsidRDefault="00B10D26" w:rsidP="008270B7">
      <w:pPr>
        <w:keepLines/>
        <w:tabs>
          <w:tab w:val="left" w:pos="720"/>
        </w:tabs>
        <w:ind w:right="51"/>
        <w:jc w:val="both"/>
        <w:rPr>
          <w:rFonts w:cs="Arial"/>
          <w:sz w:val="16"/>
          <w:szCs w:val="16"/>
          <w:highlight w:val="yellow"/>
        </w:rPr>
      </w:pPr>
    </w:p>
    <w:p w14:paraId="4AEF5611"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Dichos formularios constituyen el correspondiente contrato entre la administradora de riesgos laborales y el empleador en cada caso.  </w:t>
      </w:r>
    </w:p>
    <w:p w14:paraId="5AC5A30A" w14:textId="77777777" w:rsidR="00B10D26" w:rsidRPr="008270B7" w:rsidRDefault="00B10D26" w:rsidP="008270B7">
      <w:pPr>
        <w:keepLines/>
        <w:tabs>
          <w:tab w:val="left" w:pos="720"/>
        </w:tabs>
        <w:ind w:right="51"/>
        <w:jc w:val="both"/>
        <w:rPr>
          <w:rFonts w:cs="Arial"/>
          <w:sz w:val="16"/>
          <w:szCs w:val="16"/>
          <w:highlight w:val="yellow"/>
        </w:rPr>
      </w:pPr>
    </w:p>
    <w:p w14:paraId="6B0CA0CE"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La afiliación se entiende perfeccionada el día calendario siguiente a </w:t>
      </w:r>
      <w:r w:rsidR="00AF6AF8" w:rsidRPr="008270B7">
        <w:rPr>
          <w:rFonts w:cs="Arial"/>
          <w:sz w:val="16"/>
          <w:szCs w:val="16"/>
        </w:rPr>
        <w:t>aquél</w:t>
      </w:r>
      <w:r w:rsidRPr="008270B7">
        <w:rPr>
          <w:rFonts w:cs="Arial"/>
          <w:sz w:val="16"/>
          <w:szCs w:val="16"/>
        </w:rPr>
        <w:t xml:space="preserve"> en que el formulario ha sido recibido por la entidad administradora de riesgos laborales respectiva, sin que se requiera documento, contrato o confirmación adicional alguna</w:t>
      </w:r>
      <w:r w:rsidR="00AA3347" w:rsidRPr="008270B7">
        <w:rPr>
          <w:rFonts w:cs="Arial"/>
          <w:sz w:val="16"/>
          <w:szCs w:val="16"/>
        </w:rPr>
        <w:t>;</w:t>
      </w:r>
      <w:r w:rsidRPr="008270B7">
        <w:rPr>
          <w:rFonts w:cs="Arial"/>
          <w:sz w:val="16"/>
          <w:szCs w:val="16"/>
        </w:rPr>
        <w:t xml:space="preserve"> sin perjuicio</w:t>
      </w:r>
      <w:r w:rsidR="00AA3347" w:rsidRPr="008270B7">
        <w:rPr>
          <w:rFonts w:cs="Arial"/>
          <w:sz w:val="16"/>
          <w:szCs w:val="16"/>
        </w:rPr>
        <w:t>,</w:t>
      </w:r>
      <w:r w:rsidRPr="008270B7">
        <w:rPr>
          <w:rFonts w:cs="Arial"/>
          <w:sz w:val="16"/>
          <w:szCs w:val="16"/>
        </w:rPr>
        <w:t xml:space="preserve"> de la facultad que asiste a la entidad administradora de riesgos laborales de determinar, con posterioridad a la afiliación, si ésta corresponde a la clasificación real.</w:t>
      </w:r>
    </w:p>
    <w:p w14:paraId="5E81E76F" w14:textId="77777777" w:rsidR="00B10D26" w:rsidRPr="008270B7" w:rsidRDefault="00B10D26" w:rsidP="008270B7">
      <w:pPr>
        <w:keepLines/>
        <w:tabs>
          <w:tab w:val="left" w:pos="720"/>
        </w:tabs>
        <w:ind w:right="51"/>
        <w:jc w:val="both"/>
        <w:rPr>
          <w:rFonts w:cs="Arial"/>
          <w:sz w:val="16"/>
          <w:szCs w:val="16"/>
        </w:rPr>
      </w:pPr>
    </w:p>
    <w:p w14:paraId="38987D0B"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Cuando se trate de afiliación de ingreso al </w:t>
      </w:r>
      <w:r w:rsidR="00AA3347" w:rsidRPr="008270B7">
        <w:rPr>
          <w:rFonts w:cs="Arial"/>
          <w:sz w:val="16"/>
          <w:szCs w:val="16"/>
        </w:rPr>
        <w:t>SGRL</w:t>
      </w:r>
      <w:r w:rsidRPr="008270B7">
        <w:rPr>
          <w:rFonts w:cs="Arial"/>
          <w:sz w:val="16"/>
          <w:szCs w:val="16"/>
        </w:rPr>
        <w:t xml:space="preserve">, la cobertura se inicia desde la fecha de perfeccionamiento de la afiliación. En los casos de traslado de administradora de riesgos laborales, la cobertura se inicia desde el primer día del mes siguiente a </w:t>
      </w:r>
      <w:r w:rsidR="00AF6AF8" w:rsidRPr="008270B7">
        <w:rPr>
          <w:rFonts w:cs="Arial"/>
          <w:sz w:val="16"/>
          <w:szCs w:val="16"/>
        </w:rPr>
        <w:t>aquél</w:t>
      </w:r>
      <w:r w:rsidRPr="008270B7">
        <w:rPr>
          <w:rFonts w:cs="Arial"/>
          <w:sz w:val="16"/>
          <w:szCs w:val="16"/>
        </w:rPr>
        <w:t xml:space="preserve"> en que el traslado se produjo, conservando la empresa que se traslada la clasificación y el monto de la cotización por los siguientes </w:t>
      </w:r>
      <w:r w:rsidR="00AA3347" w:rsidRPr="008270B7">
        <w:rPr>
          <w:rFonts w:cs="Arial"/>
          <w:sz w:val="16"/>
          <w:szCs w:val="16"/>
        </w:rPr>
        <w:t>3</w:t>
      </w:r>
      <w:r w:rsidRPr="008270B7">
        <w:rPr>
          <w:rFonts w:cs="Arial"/>
          <w:sz w:val="16"/>
          <w:szCs w:val="16"/>
        </w:rPr>
        <w:t xml:space="preserve"> meses.</w:t>
      </w:r>
    </w:p>
    <w:p w14:paraId="4D01E22B" w14:textId="77777777" w:rsidR="00B10D26" w:rsidRPr="008270B7" w:rsidRDefault="00B10D26" w:rsidP="008270B7">
      <w:pPr>
        <w:keepLines/>
        <w:tabs>
          <w:tab w:val="left" w:pos="720"/>
        </w:tabs>
        <w:ind w:right="51"/>
        <w:jc w:val="both"/>
        <w:rPr>
          <w:rFonts w:cs="Arial"/>
          <w:sz w:val="16"/>
          <w:szCs w:val="16"/>
        </w:rPr>
      </w:pPr>
    </w:p>
    <w:p w14:paraId="5C4E56EC"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Sin perjuicio del perfeccionamiento de la afiliación y vigencia de las </w:t>
      </w:r>
      <w:proofErr w:type="gramStart"/>
      <w:r w:rsidRPr="008270B7">
        <w:rPr>
          <w:rFonts w:cs="Arial"/>
          <w:sz w:val="16"/>
          <w:szCs w:val="16"/>
        </w:rPr>
        <w:t>coberturas  a</w:t>
      </w:r>
      <w:proofErr w:type="gramEnd"/>
      <w:r w:rsidRPr="008270B7">
        <w:rPr>
          <w:rFonts w:cs="Arial"/>
          <w:sz w:val="16"/>
          <w:szCs w:val="16"/>
        </w:rPr>
        <w:t xml:space="preserve"> que se refieren los art. 6 del Decreto 1772 de 1994 y 33 del Decreto 1295 del mismo año</w:t>
      </w:r>
      <w:r w:rsidRPr="008270B7">
        <w:rPr>
          <w:rFonts w:cs="Arial"/>
          <w:color w:val="FF0000"/>
          <w:sz w:val="16"/>
          <w:szCs w:val="16"/>
        </w:rPr>
        <w:t>,</w:t>
      </w:r>
      <w:r w:rsidRPr="008270B7">
        <w:rPr>
          <w:rFonts w:cs="Arial"/>
          <w:sz w:val="16"/>
          <w:szCs w:val="16"/>
        </w:rPr>
        <w:t xml:space="preserve"> modificado por el art. 21 de la Ley 776 de 2002, la entidad administradora de riesgos laborales debe hacer entrega al empleador, dentro de los 15 días siguientes al del recibo del formulario, de un ejemplar del formulario de afiliación firmado por el representante legal de la administradora.</w:t>
      </w:r>
    </w:p>
    <w:p w14:paraId="44698AA1" w14:textId="77777777" w:rsidR="00B10D26" w:rsidRPr="008270B7" w:rsidRDefault="00B10D26" w:rsidP="008270B7">
      <w:pPr>
        <w:keepLines/>
        <w:tabs>
          <w:tab w:val="left" w:pos="720"/>
        </w:tabs>
        <w:ind w:right="51"/>
        <w:jc w:val="both"/>
        <w:rPr>
          <w:rFonts w:cs="Arial"/>
          <w:sz w:val="16"/>
          <w:szCs w:val="16"/>
          <w:highlight w:val="yellow"/>
        </w:rPr>
      </w:pPr>
    </w:p>
    <w:p w14:paraId="1FF815BC"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3.4.2.1.2. Novedades Empleador – Centros de Trabajo.  En el formulario “Novedades </w:t>
      </w:r>
      <w:r w:rsidR="00AA3347" w:rsidRPr="008270B7">
        <w:rPr>
          <w:rFonts w:cs="Arial"/>
          <w:sz w:val="16"/>
          <w:szCs w:val="16"/>
        </w:rPr>
        <w:t>e</w:t>
      </w:r>
      <w:r w:rsidRPr="008270B7">
        <w:rPr>
          <w:rFonts w:cs="Arial"/>
          <w:sz w:val="16"/>
          <w:szCs w:val="16"/>
        </w:rPr>
        <w:t xml:space="preserve">mpleador - Centros de </w:t>
      </w:r>
      <w:r w:rsidR="00AA3347" w:rsidRPr="008270B7">
        <w:rPr>
          <w:rFonts w:cs="Arial"/>
          <w:sz w:val="16"/>
          <w:szCs w:val="16"/>
        </w:rPr>
        <w:t>t</w:t>
      </w:r>
      <w:r w:rsidRPr="008270B7">
        <w:rPr>
          <w:rFonts w:cs="Arial"/>
          <w:sz w:val="16"/>
          <w:szCs w:val="16"/>
        </w:rPr>
        <w:t xml:space="preserve">rabajo”, contenido bajo la proforma B.3000-05 se deben incorporar las novedades relacionadas con el empleador y los centros de trabajos, indicando en cada caso el código que corresponda. Este formulario se debe tramitar únicamente cuando se presente alguna de dichas novedades. (Anexo 43 del presente título) </w:t>
      </w:r>
    </w:p>
    <w:p w14:paraId="0B669F92" w14:textId="77777777" w:rsidR="00B10D26" w:rsidRPr="008270B7" w:rsidRDefault="00B10D26" w:rsidP="008270B7">
      <w:pPr>
        <w:keepLines/>
        <w:tabs>
          <w:tab w:val="left" w:pos="720"/>
        </w:tabs>
        <w:ind w:right="51"/>
        <w:jc w:val="both"/>
        <w:rPr>
          <w:rFonts w:cs="Arial"/>
          <w:sz w:val="16"/>
          <w:szCs w:val="16"/>
        </w:rPr>
      </w:pPr>
    </w:p>
    <w:p w14:paraId="7B046872"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3.4.2.1.3. Relación de beneficiarios. Para efectos de la relación de beneficiarios se debe diligenciar el formulario único “Beneficiarios de </w:t>
      </w:r>
      <w:r w:rsidR="00AA3347" w:rsidRPr="008270B7">
        <w:rPr>
          <w:rFonts w:cs="Arial"/>
          <w:sz w:val="16"/>
          <w:szCs w:val="16"/>
        </w:rPr>
        <w:t>t</w:t>
      </w:r>
      <w:r w:rsidRPr="008270B7">
        <w:rPr>
          <w:rFonts w:cs="Arial"/>
          <w:sz w:val="16"/>
          <w:szCs w:val="16"/>
        </w:rPr>
        <w:t xml:space="preserve">rabajadores </w:t>
      </w:r>
      <w:r w:rsidR="00AA3347" w:rsidRPr="008270B7">
        <w:rPr>
          <w:rFonts w:cs="Arial"/>
          <w:sz w:val="16"/>
          <w:szCs w:val="16"/>
        </w:rPr>
        <w:t>a</w:t>
      </w:r>
      <w:r w:rsidRPr="008270B7">
        <w:rPr>
          <w:rFonts w:cs="Arial"/>
          <w:sz w:val="16"/>
          <w:szCs w:val="16"/>
        </w:rPr>
        <w:t>filiados”, proforma B.3000-03, el cual debe ser distribuido gratuitamente por las administradoras de riesgos laborales a los empleadores al momento de su afiliación por primera vez al sistema. (Anexo 41 del presente título)</w:t>
      </w:r>
    </w:p>
    <w:p w14:paraId="7327D765" w14:textId="77777777" w:rsidR="00B10D26" w:rsidRPr="008270B7" w:rsidRDefault="00B10D26" w:rsidP="008270B7">
      <w:pPr>
        <w:keepLines/>
        <w:tabs>
          <w:tab w:val="left" w:pos="720"/>
        </w:tabs>
        <w:ind w:right="51"/>
        <w:jc w:val="both"/>
        <w:rPr>
          <w:rFonts w:cs="Arial"/>
          <w:sz w:val="16"/>
          <w:szCs w:val="16"/>
        </w:rPr>
      </w:pPr>
    </w:p>
    <w:p w14:paraId="5A7F32CE"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Los formularios de beneficiarios de los trabajadores afiliados no se requ</w:t>
      </w:r>
      <w:r w:rsidR="00AA3347" w:rsidRPr="008270B7">
        <w:rPr>
          <w:rFonts w:cs="Arial"/>
          <w:sz w:val="16"/>
          <w:szCs w:val="16"/>
        </w:rPr>
        <w:t>i</w:t>
      </w:r>
      <w:r w:rsidRPr="008270B7">
        <w:rPr>
          <w:rFonts w:cs="Arial"/>
          <w:sz w:val="16"/>
          <w:szCs w:val="16"/>
        </w:rPr>
        <w:t>er</w:t>
      </w:r>
      <w:r w:rsidR="00AA3347" w:rsidRPr="008270B7">
        <w:rPr>
          <w:rFonts w:cs="Arial"/>
          <w:sz w:val="16"/>
          <w:szCs w:val="16"/>
        </w:rPr>
        <w:t>e</w:t>
      </w:r>
      <w:r w:rsidRPr="008270B7">
        <w:rPr>
          <w:rFonts w:cs="Arial"/>
          <w:sz w:val="16"/>
          <w:szCs w:val="16"/>
        </w:rPr>
        <w:t xml:space="preserve">n para que se entienda efectuada y perfeccionada la afiliación, en consecuencia, </w:t>
      </w:r>
      <w:r w:rsidR="00FA49B6" w:rsidRPr="008270B7">
        <w:rPr>
          <w:rFonts w:cs="Arial"/>
          <w:sz w:val="16"/>
          <w:szCs w:val="16"/>
        </w:rPr>
        <w:t xml:space="preserve">deben </w:t>
      </w:r>
      <w:r w:rsidRPr="008270B7">
        <w:rPr>
          <w:rFonts w:cs="Arial"/>
          <w:sz w:val="16"/>
          <w:szCs w:val="16"/>
        </w:rPr>
        <w:t>ser entregados al empleador, quien puede diligenciarlos con posterioridad a la afiliación.</w:t>
      </w:r>
    </w:p>
    <w:p w14:paraId="5CCCDF14" w14:textId="77777777" w:rsidR="00B10D26" w:rsidRPr="008270B7" w:rsidRDefault="00B10D26" w:rsidP="008270B7">
      <w:pPr>
        <w:keepLines/>
        <w:tabs>
          <w:tab w:val="left" w:pos="720"/>
        </w:tabs>
        <w:ind w:right="51"/>
        <w:jc w:val="both"/>
        <w:rPr>
          <w:rFonts w:cs="Arial"/>
          <w:sz w:val="16"/>
          <w:szCs w:val="16"/>
        </w:rPr>
      </w:pPr>
    </w:p>
    <w:p w14:paraId="3A96DEBA"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En los casos de traslado de administradora de riesgos laborales, el empleador no debe diligenciar nuevamente los formularios de beneficiarios, cuando éstos se encuentren ya debidamente diligenciados.</w:t>
      </w:r>
    </w:p>
    <w:p w14:paraId="48EB64F4" w14:textId="77777777" w:rsidR="00B10D26" w:rsidRPr="008270B7" w:rsidRDefault="00B10D26" w:rsidP="008270B7">
      <w:pPr>
        <w:keepLines/>
        <w:tabs>
          <w:tab w:val="left" w:pos="720"/>
        </w:tabs>
        <w:ind w:right="51"/>
        <w:jc w:val="both"/>
        <w:rPr>
          <w:rFonts w:cs="Arial"/>
          <w:sz w:val="16"/>
          <w:szCs w:val="16"/>
        </w:rPr>
      </w:pPr>
    </w:p>
    <w:p w14:paraId="098CC740"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Con excepción de lo dispuesto en el inciso 2, art. 46 del Decreto 1406 de 1999, el empleador debe mantener en sus archivos a disposición de las administradoras, </w:t>
      </w:r>
      <w:r w:rsidR="00D5244A" w:rsidRPr="008270B7">
        <w:rPr>
          <w:rFonts w:cs="Arial"/>
          <w:sz w:val="16"/>
          <w:szCs w:val="16"/>
        </w:rPr>
        <w:t xml:space="preserve">tanto </w:t>
      </w:r>
      <w:r w:rsidRPr="008270B7">
        <w:rPr>
          <w:rFonts w:cs="Arial"/>
          <w:sz w:val="16"/>
          <w:szCs w:val="16"/>
        </w:rPr>
        <w:t xml:space="preserve">los formularios como todos los documentos que acrediten la condición legal de beneficiarios y suministrarlos debidamente actualizados en caso de invalidez o muerte del trabajador, dentro de los 5 días hábiles siguientes a la solicitud de la administradora. </w:t>
      </w:r>
    </w:p>
    <w:p w14:paraId="78C49739" w14:textId="77777777" w:rsidR="00B10D26" w:rsidRPr="008270B7" w:rsidRDefault="00B10D26" w:rsidP="008270B7">
      <w:pPr>
        <w:keepLines/>
        <w:tabs>
          <w:tab w:val="left" w:pos="720"/>
        </w:tabs>
        <w:ind w:right="51"/>
        <w:jc w:val="both"/>
        <w:rPr>
          <w:rFonts w:cs="Arial"/>
          <w:sz w:val="16"/>
          <w:szCs w:val="16"/>
        </w:rPr>
      </w:pPr>
    </w:p>
    <w:p w14:paraId="28EA4FA8"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 xml:space="preserve">3.4.2.2. Liquidación de aportes al </w:t>
      </w:r>
      <w:r w:rsidR="00D5244A" w:rsidRPr="008270B7">
        <w:rPr>
          <w:rFonts w:cs="Arial"/>
          <w:sz w:val="16"/>
          <w:szCs w:val="16"/>
        </w:rPr>
        <w:t>SGRL</w:t>
      </w:r>
    </w:p>
    <w:p w14:paraId="3FFEB3E0" w14:textId="77777777" w:rsidR="00B10D26" w:rsidRPr="008270B7" w:rsidRDefault="00B10D26" w:rsidP="008270B7">
      <w:pPr>
        <w:keepLines/>
        <w:tabs>
          <w:tab w:val="left" w:pos="720"/>
        </w:tabs>
        <w:ind w:right="51"/>
        <w:jc w:val="both"/>
        <w:rPr>
          <w:rFonts w:cs="Arial"/>
          <w:sz w:val="16"/>
          <w:szCs w:val="16"/>
        </w:rPr>
      </w:pPr>
    </w:p>
    <w:p w14:paraId="29477C08" w14:textId="77777777" w:rsidR="00B10D26" w:rsidRPr="008270B7" w:rsidRDefault="00B10D26" w:rsidP="008270B7">
      <w:pPr>
        <w:pStyle w:val="Textoindependiente21"/>
        <w:keepLines/>
        <w:tabs>
          <w:tab w:val="clear" w:pos="851"/>
          <w:tab w:val="left" w:pos="720"/>
        </w:tabs>
        <w:ind w:right="51"/>
        <w:rPr>
          <w:rFonts w:cs="Arial"/>
          <w:sz w:val="16"/>
          <w:szCs w:val="16"/>
        </w:rPr>
      </w:pPr>
      <w:r w:rsidRPr="008270B7">
        <w:rPr>
          <w:rFonts w:cs="Arial"/>
          <w:sz w:val="16"/>
          <w:szCs w:val="16"/>
          <w:lang w:val="es-ES"/>
        </w:rPr>
        <w:t xml:space="preserve">Es obligación de todo aportante, presentar mensualmente la declaración de autoliquidación de </w:t>
      </w:r>
      <w:r w:rsidRPr="008270B7">
        <w:rPr>
          <w:rFonts w:cs="Arial"/>
          <w:sz w:val="16"/>
          <w:szCs w:val="16"/>
        </w:rPr>
        <w:t xml:space="preserve">las cotizaciones al </w:t>
      </w:r>
      <w:r w:rsidR="00FA49B6" w:rsidRPr="008270B7">
        <w:rPr>
          <w:rFonts w:cs="Arial"/>
          <w:sz w:val="16"/>
          <w:szCs w:val="16"/>
        </w:rPr>
        <w:t>SGRL</w:t>
      </w:r>
      <w:r w:rsidRPr="008270B7">
        <w:rPr>
          <w:rFonts w:cs="Arial"/>
          <w:sz w:val="16"/>
          <w:szCs w:val="16"/>
          <w:lang w:val="es-ES"/>
        </w:rPr>
        <w:t xml:space="preserve"> e incorporar allí las novedades ocurridas durante el período, de acuerdo con las normas que reglamenten el sistema unificado de aportes al régimen de seguridad social integral, </w:t>
      </w:r>
      <w:r w:rsidRPr="008270B7">
        <w:rPr>
          <w:rFonts w:cs="Arial"/>
          <w:sz w:val="16"/>
          <w:szCs w:val="16"/>
        </w:rPr>
        <w:t>de manera espec</w:t>
      </w:r>
      <w:r w:rsidR="00FA49B6" w:rsidRPr="008270B7">
        <w:rPr>
          <w:rFonts w:cs="Arial"/>
          <w:sz w:val="16"/>
          <w:szCs w:val="16"/>
        </w:rPr>
        <w:t>í</w:t>
      </w:r>
      <w:r w:rsidRPr="008270B7">
        <w:rPr>
          <w:rFonts w:cs="Arial"/>
          <w:sz w:val="16"/>
          <w:szCs w:val="16"/>
        </w:rPr>
        <w:t>fica en la Planilla Integrada de Liquidación de Aportes (PILA).</w:t>
      </w:r>
    </w:p>
    <w:p w14:paraId="366E08B6" w14:textId="77777777" w:rsidR="00B10D26" w:rsidRPr="008270B7" w:rsidRDefault="00B10D26" w:rsidP="008270B7">
      <w:pPr>
        <w:pStyle w:val="Textoindependiente21"/>
        <w:keepLines/>
        <w:tabs>
          <w:tab w:val="clear" w:pos="851"/>
          <w:tab w:val="left" w:pos="720"/>
        </w:tabs>
        <w:ind w:right="51"/>
        <w:rPr>
          <w:rFonts w:cs="Arial"/>
          <w:sz w:val="16"/>
          <w:szCs w:val="16"/>
          <w:highlight w:val="yellow"/>
          <w:lang w:val="es-ES"/>
        </w:rPr>
      </w:pPr>
    </w:p>
    <w:p w14:paraId="365104BC" w14:textId="77777777" w:rsidR="00B10D26" w:rsidRPr="008270B7" w:rsidRDefault="00B10D26" w:rsidP="008270B7">
      <w:pPr>
        <w:keepLines/>
        <w:tabs>
          <w:tab w:val="left" w:pos="720"/>
        </w:tabs>
        <w:ind w:right="51"/>
        <w:jc w:val="both"/>
        <w:rPr>
          <w:rFonts w:cs="Arial"/>
          <w:sz w:val="16"/>
          <w:szCs w:val="16"/>
        </w:rPr>
      </w:pPr>
      <w:r w:rsidRPr="008270B7">
        <w:rPr>
          <w:rFonts w:cs="Arial"/>
          <w:sz w:val="16"/>
          <w:szCs w:val="16"/>
        </w:rPr>
        <w:t>3.4.2.3. Traslado de administradora de riesgos laborales. Los traslados entre administradoras de riesgos laborales se r</w:t>
      </w:r>
      <w:r w:rsidR="00D5244A" w:rsidRPr="008270B7">
        <w:rPr>
          <w:rFonts w:cs="Arial"/>
          <w:sz w:val="16"/>
          <w:szCs w:val="16"/>
        </w:rPr>
        <w:t>ige</w:t>
      </w:r>
      <w:r w:rsidRPr="008270B7">
        <w:rPr>
          <w:rFonts w:cs="Arial"/>
          <w:sz w:val="16"/>
          <w:szCs w:val="16"/>
        </w:rPr>
        <w:t xml:space="preserve"> por lo dispuesto en el art. 7 del Decreto 1772 de 1994 y el art. 33 del Decreto 1295 del mismo año, modificado por el art. 21 de la Ley 776 de 2002, parágrafo del art. 2 de la Ley 828 de 2003 y demás disposiciones complementarias.</w:t>
      </w:r>
    </w:p>
    <w:p w14:paraId="5D2F793C" w14:textId="77777777" w:rsidR="00B10D26" w:rsidRPr="008270B7" w:rsidDel="00250DCD" w:rsidRDefault="00B10D26" w:rsidP="008270B7">
      <w:pPr>
        <w:keepLines/>
        <w:tabs>
          <w:tab w:val="left" w:pos="720"/>
        </w:tabs>
        <w:ind w:right="51"/>
        <w:jc w:val="both"/>
        <w:rPr>
          <w:rFonts w:cs="Arial"/>
          <w:sz w:val="16"/>
          <w:szCs w:val="16"/>
        </w:rPr>
      </w:pPr>
      <w:r w:rsidRPr="008270B7" w:rsidDel="00250DCD">
        <w:rPr>
          <w:rFonts w:cs="Arial"/>
          <w:sz w:val="16"/>
          <w:szCs w:val="16"/>
        </w:rPr>
        <w:t xml:space="preserve"> </w:t>
      </w:r>
    </w:p>
    <w:p w14:paraId="014AE3F1" w14:textId="77777777" w:rsidR="00B10D26" w:rsidRPr="008270B7" w:rsidRDefault="002C63C2" w:rsidP="008270B7">
      <w:pPr>
        <w:keepLines/>
        <w:tabs>
          <w:tab w:val="left" w:pos="720"/>
        </w:tabs>
        <w:ind w:right="51"/>
        <w:jc w:val="both"/>
        <w:rPr>
          <w:rFonts w:cs="Arial"/>
          <w:sz w:val="16"/>
          <w:szCs w:val="16"/>
        </w:rPr>
      </w:pPr>
      <w:r w:rsidRPr="008270B7">
        <w:rPr>
          <w:rFonts w:cs="Arial"/>
          <w:sz w:val="16"/>
          <w:szCs w:val="16"/>
        </w:rPr>
        <w:t xml:space="preserve">3.4.2.4. </w:t>
      </w:r>
      <w:r w:rsidR="00B10D26" w:rsidRPr="008270B7">
        <w:rPr>
          <w:rFonts w:cs="Arial"/>
          <w:sz w:val="16"/>
          <w:szCs w:val="16"/>
        </w:rPr>
        <w:t>Dentro de los 10 días siguientes al recibo de la comunicación, la administradora de riesgos laborales debe expedir al empleador constancia de afiliación en la que se contenga la siguiente información:</w:t>
      </w:r>
    </w:p>
    <w:p w14:paraId="311752AB" w14:textId="77777777" w:rsidR="00B10D26" w:rsidRPr="008270B7" w:rsidRDefault="00B10D26" w:rsidP="008270B7">
      <w:pPr>
        <w:keepLines/>
        <w:tabs>
          <w:tab w:val="left" w:pos="720"/>
        </w:tabs>
        <w:ind w:right="51"/>
        <w:jc w:val="both"/>
        <w:rPr>
          <w:rFonts w:cs="Arial"/>
          <w:sz w:val="16"/>
          <w:szCs w:val="16"/>
        </w:rPr>
      </w:pPr>
    </w:p>
    <w:p w14:paraId="66CB33DA" w14:textId="77777777" w:rsidR="00B10D26" w:rsidRPr="008270B7" w:rsidRDefault="00B10D26" w:rsidP="008270B7">
      <w:pPr>
        <w:keepLines/>
        <w:tabs>
          <w:tab w:val="left" w:pos="284"/>
          <w:tab w:val="left" w:pos="720"/>
        </w:tabs>
        <w:ind w:right="51"/>
        <w:jc w:val="both"/>
        <w:rPr>
          <w:rFonts w:cs="Arial"/>
          <w:sz w:val="16"/>
          <w:szCs w:val="16"/>
        </w:rPr>
      </w:pPr>
      <w:r w:rsidRPr="008270B7">
        <w:rPr>
          <w:rFonts w:cs="Arial"/>
          <w:sz w:val="16"/>
          <w:szCs w:val="16"/>
        </w:rPr>
        <w:t>3.4.2.4.1. Nombre o razón social del empleador y cédula de ciudadanía o número de identificación tributaria.</w:t>
      </w:r>
    </w:p>
    <w:p w14:paraId="1C910D59" w14:textId="77777777" w:rsidR="00B10D26" w:rsidRPr="008270B7" w:rsidRDefault="00B10D26" w:rsidP="008270B7">
      <w:pPr>
        <w:keepLines/>
        <w:tabs>
          <w:tab w:val="left" w:pos="284"/>
          <w:tab w:val="left" w:pos="720"/>
        </w:tabs>
        <w:ind w:right="51"/>
        <w:jc w:val="both"/>
        <w:rPr>
          <w:rFonts w:cs="Arial"/>
          <w:sz w:val="16"/>
          <w:szCs w:val="16"/>
        </w:rPr>
      </w:pPr>
    </w:p>
    <w:p w14:paraId="03B9D4B8" w14:textId="77777777" w:rsidR="00B10D26" w:rsidRPr="008270B7" w:rsidRDefault="00B10D26" w:rsidP="008270B7">
      <w:pPr>
        <w:keepLines/>
        <w:tabs>
          <w:tab w:val="left" w:pos="284"/>
          <w:tab w:val="left" w:pos="720"/>
        </w:tabs>
        <w:ind w:right="51"/>
        <w:jc w:val="both"/>
        <w:rPr>
          <w:rFonts w:cs="Arial"/>
          <w:sz w:val="16"/>
          <w:szCs w:val="16"/>
        </w:rPr>
      </w:pPr>
      <w:r w:rsidRPr="008270B7">
        <w:rPr>
          <w:rFonts w:cs="Arial"/>
          <w:sz w:val="16"/>
          <w:szCs w:val="16"/>
        </w:rPr>
        <w:t>3.4.2.4.2. Número del formulario de afiliación.</w:t>
      </w:r>
    </w:p>
    <w:p w14:paraId="0B2251F7" w14:textId="77777777" w:rsidR="00B10D26" w:rsidRPr="008270B7" w:rsidRDefault="00B10D26" w:rsidP="008270B7">
      <w:pPr>
        <w:keepLines/>
        <w:tabs>
          <w:tab w:val="left" w:pos="284"/>
          <w:tab w:val="left" w:pos="720"/>
        </w:tabs>
        <w:ind w:right="51"/>
        <w:jc w:val="both"/>
        <w:rPr>
          <w:rFonts w:cs="Arial"/>
          <w:sz w:val="16"/>
          <w:szCs w:val="16"/>
        </w:rPr>
      </w:pPr>
    </w:p>
    <w:p w14:paraId="3EAF3045" w14:textId="77777777" w:rsidR="00B10D26" w:rsidRPr="008270B7" w:rsidRDefault="00B10D26" w:rsidP="008270B7">
      <w:pPr>
        <w:keepLines/>
        <w:tabs>
          <w:tab w:val="left" w:pos="284"/>
          <w:tab w:val="left" w:pos="720"/>
        </w:tabs>
        <w:ind w:right="51"/>
        <w:jc w:val="both"/>
        <w:rPr>
          <w:rFonts w:cs="Arial"/>
          <w:sz w:val="16"/>
          <w:szCs w:val="16"/>
        </w:rPr>
      </w:pPr>
      <w:r w:rsidRPr="008270B7">
        <w:rPr>
          <w:rFonts w:cs="Arial"/>
          <w:sz w:val="16"/>
          <w:szCs w:val="16"/>
        </w:rPr>
        <w:t xml:space="preserve">3.4.2.4.3. Vigencia de la afiliación, indicando las fechas de inicio y terminación de </w:t>
      </w:r>
      <w:proofErr w:type="gramStart"/>
      <w:r w:rsidRPr="008270B7">
        <w:rPr>
          <w:rFonts w:cs="Arial"/>
          <w:sz w:val="16"/>
          <w:szCs w:val="16"/>
        </w:rPr>
        <w:t>la misma</w:t>
      </w:r>
      <w:proofErr w:type="gramEnd"/>
      <w:r w:rsidRPr="008270B7">
        <w:rPr>
          <w:rFonts w:cs="Arial"/>
          <w:sz w:val="16"/>
          <w:szCs w:val="16"/>
        </w:rPr>
        <w:t>.</w:t>
      </w:r>
    </w:p>
    <w:p w14:paraId="61DBA21A" w14:textId="77777777" w:rsidR="00B10D26" w:rsidRPr="008270B7" w:rsidRDefault="00B10D26" w:rsidP="008270B7">
      <w:pPr>
        <w:keepLines/>
        <w:tabs>
          <w:tab w:val="left" w:pos="284"/>
          <w:tab w:val="left" w:pos="720"/>
        </w:tabs>
        <w:ind w:right="51"/>
        <w:jc w:val="both"/>
        <w:rPr>
          <w:rFonts w:cs="Arial"/>
          <w:sz w:val="16"/>
          <w:szCs w:val="16"/>
        </w:rPr>
      </w:pPr>
    </w:p>
    <w:p w14:paraId="41E6B3E2" w14:textId="77777777" w:rsidR="00B10D26" w:rsidRPr="008270B7" w:rsidRDefault="00B10D26" w:rsidP="008270B7">
      <w:pPr>
        <w:keepLines/>
        <w:tabs>
          <w:tab w:val="left" w:pos="284"/>
          <w:tab w:val="left" w:pos="720"/>
        </w:tabs>
        <w:ind w:right="51"/>
        <w:jc w:val="both"/>
        <w:rPr>
          <w:rFonts w:cs="Arial"/>
          <w:sz w:val="16"/>
          <w:szCs w:val="16"/>
        </w:rPr>
      </w:pPr>
      <w:r w:rsidRPr="008270B7">
        <w:rPr>
          <w:rFonts w:cs="Arial"/>
          <w:sz w:val="16"/>
          <w:szCs w:val="16"/>
        </w:rPr>
        <w:t>3.4.2.4.4. Número de trabajadores afiliados a la fecha de expedición de la constancia.</w:t>
      </w:r>
    </w:p>
    <w:p w14:paraId="4A8FC948" w14:textId="77777777" w:rsidR="00B10D26" w:rsidRPr="008270B7" w:rsidRDefault="00B10D26" w:rsidP="008270B7">
      <w:pPr>
        <w:keepLines/>
        <w:tabs>
          <w:tab w:val="left" w:pos="284"/>
          <w:tab w:val="left" w:pos="720"/>
        </w:tabs>
        <w:ind w:right="51"/>
        <w:jc w:val="both"/>
        <w:rPr>
          <w:rFonts w:cs="Arial"/>
          <w:sz w:val="16"/>
          <w:szCs w:val="16"/>
        </w:rPr>
      </w:pPr>
    </w:p>
    <w:p w14:paraId="0929A361" w14:textId="77777777" w:rsidR="00B10D26" w:rsidRPr="008270B7" w:rsidRDefault="00B10D26" w:rsidP="008270B7">
      <w:pPr>
        <w:keepLines/>
        <w:tabs>
          <w:tab w:val="left" w:pos="284"/>
          <w:tab w:val="left" w:pos="720"/>
        </w:tabs>
        <w:ind w:right="51"/>
        <w:jc w:val="both"/>
        <w:rPr>
          <w:rFonts w:cs="Arial"/>
          <w:sz w:val="16"/>
          <w:szCs w:val="16"/>
        </w:rPr>
      </w:pPr>
      <w:r w:rsidRPr="008270B7">
        <w:rPr>
          <w:rFonts w:cs="Arial"/>
          <w:sz w:val="16"/>
          <w:szCs w:val="16"/>
        </w:rPr>
        <w:t>3.4.2.4.5. Relación de los centros de trabajo del empleador, indicando para cada uno la clasificación de acuerdo con las normas legales vigentes y la tarifa con base en la cual se determina el monto de la cotización a la fecha de expedición de la constancia.</w:t>
      </w:r>
    </w:p>
    <w:p w14:paraId="0A604B4C" w14:textId="77777777" w:rsidR="00B12416" w:rsidRPr="008270B7" w:rsidRDefault="00B12416" w:rsidP="008270B7">
      <w:pPr>
        <w:keepLines/>
        <w:tabs>
          <w:tab w:val="left" w:pos="284"/>
          <w:tab w:val="left" w:pos="720"/>
        </w:tabs>
        <w:ind w:right="51"/>
        <w:jc w:val="both"/>
        <w:rPr>
          <w:rFonts w:cs="Arial"/>
          <w:sz w:val="16"/>
          <w:szCs w:val="16"/>
        </w:rPr>
      </w:pPr>
    </w:p>
    <w:p w14:paraId="33AE7BF7" w14:textId="47D67C03" w:rsidR="00B12416" w:rsidRPr="008270B7" w:rsidRDefault="00B12416" w:rsidP="008270B7">
      <w:pPr>
        <w:keepLines/>
        <w:tabs>
          <w:tab w:val="left" w:pos="284"/>
          <w:tab w:val="left" w:pos="720"/>
        </w:tabs>
        <w:ind w:right="51"/>
        <w:jc w:val="both"/>
        <w:rPr>
          <w:rFonts w:cs="Arial"/>
          <w:sz w:val="16"/>
          <w:szCs w:val="16"/>
        </w:rPr>
        <w:sectPr w:rsidR="00B12416" w:rsidRPr="008270B7" w:rsidSect="009B06EA">
          <w:headerReference w:type="first" r:id="rId79"/>
          <w:footerReference w:type="first" r:id="rId80"/>
          <w:pgSz w:w="12240" w:h="18720" w:code="257"/>
          <w:pgMar w:top="1417" w:right="1701" w:bottom="1417" w:left="1701" w:header="709" w:footer="865" w:gutter="0"/>
          <w:pgNumType w:start="21"/>
          <w:cols w:space="708"/>
          <w:titlePg/>
          <w:docGrid w:linePitch="360"/>
        </w:sectPr>
      </w:pPr>
    </w:p>
    <w:p w14:paraId="7106B6FB" w14:textId="77777777" w:rsidR="001770B4" w:rsidRPr="008270B7" w:rsidRDefault="001770B4" w:rsidP="008270B7">
      <w:pPr>
        <w:keepLines/>
        <w:tabs>
          <w:tab w:val="left" w:pos="284"/>
          <w:tab w:val="left" w:pos="720"/>
        </w:tabs>
        <w:ind w:right="51"/>
        <w:jc w:val="both"/>
        <w:rPr>
          <w:rFonts w:cs="Arial"/>
          <w:sz w:val="16"/>
          <w:szCs w:val="16"/>
        </w:rPr>
      </w:pPr>
      <w:r w:rsidRPr="008270B7">
        <w:rPr>
          <w:rFonts w:cs="Arial"/>
          <w:sz w:val="16"/>
          <w:szCs w:val="16"/>
        </w:rPr>
        <w:lastRenderedPageBreak/>
        <w:t>3.4.2.4.6. Estado de cuenta del empleador, que corresponde al informe sobre si se encuentra al día en el pago de las cotizaciones en la fecha de expedición de la constancia. En caso contrario, sobre los períodos por los que se encuentre en mora.</w:t>
      </w:r>
    </w:p>
    <w:p w14:paraId="29A6AC41" w14:textId="77777777" w:rsidR="001770B4" w:rsidRPr="008270B7" w:rsidRDefault="001770B4" w:rsidP="008270B7">
      <w:pPr>
        <w:keepLines/>
        <w:tabs>
          <w:tab w:val="left" w:pos="284"/>
          <w:tab w:val="left" w:pos="720"/>
        </w:tabs>
        <w:ind w:right="51"/>
        <w:jc w:val="both"/>
        <w:rPr>
          <w:rFonts w:cs="Arial"/>
          <w:sz w:val="16"/>
          <w:szCs w:val="16"/>
        </w:rPr>
      </w:pPr>
    </w:p>
    <w:p w14:paraId="7A2AF0D5" w14:textId="77777777" w:rsidR="001770B4" w:rsidRPr="008270B7" w:rsidRDefault="001770B4" w:rsidP="008270B7">
      <w:pPr>
        <w:keepLines/>
        <w:tabs>
          <w:tab w:val="left" w:pos="284"/>
          <w:tab w:val="left" w:pos="720"/>
        </w:tabs>
        <w:ind w:right="51"/>
        <w:jc w:val="both"/>
        <w:rPr>
          <w:rFonts w:cs="Arial"/>
          <w:sz w:val="16"/>
          <w:szCs w:val="16"/>
        </w:rPr>
      </w:pPr>
      <w:r w:rsidRPr="008270B7">
        <w:rPr>
          <w:rFonts w:cs="Arial"/>
          <w:sz w:val="16"/>
          <w:szCs w:val="16"/>
        </w:rPr>
        <w:t xml:space="preserve">La no expedición oportuna de la constancia de afiliación a la que se refiere el presente </w:t>
      </w:r>
      <w:proofErr w:type="gramStart"/>
      <w:r w:rsidRPr="008270B7">
        <w:rPr>
          <w:rFonts w:cs="Arial"/>
          <w:sz w:val="16"/>
          <w:szCs w:val="16"/>
          <w:lang w:val="es-CO"/>
        </w:rPr>
        <w:t>numeral</w:t>
      </w:r>
      <w:r w:rsidRPr="008270B7">
        <w:rPr>
          <w:rFonts w:cs="Arial"/>
          <w:sz w:val="16"/>
          <w:szCs w:val="16"/>
        </w:rPr>
        <w:t>,</w:t>
      </w:r>
      <w:proofErr w:type="gramEnd"/>
      <w:r w:rsidRPr="008270B7">
        <w:rPr>
          <w:rFonts w:cs="Arial"/>
          <w:sz w:val="16"/>
          <w:szCs w:val="16"/>
        </w:rPr>
        <w:t xml:space="preserve"> da lugar a las responsabilidades del caso por impedimento o dilación a la libertad de escoger la entidad administradora de riesgos laborales.</w:t>
      </w:r>
    </w:p>
    <w:p w14:paraId="5C66168F" w14:textId="77777777" w:rsidR="001770B4" w:rsidRPr="008270B7" w:rsidRDefault="001770B4" w:rsidP="008270B7">
      <w:pPr>
        <w:tabs>
          <w:tab w:val="left" w:pos="720"/>
        </w:tabs>
        <w:ind w:right="51"/>
        <w:jc w:val="both"/>
        <w:rPr>
          <w:rFonts w:cs="Arial"/>
          <w:sz w:val="16"/>
          <w:szCs w:val="16"/>
        </w:rPr>
      </w:pPr>
    </w:p>
    <w:p w14:paraId="537C5D77" w14:textId="77777777" w:rsidR="001770B4" w:rsidRDefault="001770B4" w:rsidP="008270B7">
      <w:pPr>
        <w:tabs>
          <w:tab w:val="left" w:pos="720"/>
        </w:tabs>
        <w:ind w:right="51"/>
        <w:jc w:val="both"/>
        <w:rPr>
          <w:rFonts w:cs="Arial"/>
          <w:sz w:val="16"/>
          <w:szCs w:val="16"/>
        </w:rPr>
      </w:pPr>
      <w:r w:rsidRPr="008270B7">
        <w:rPr>
          <w:rFonts w:cs="Arial"/>
          <w:sz w:val="16"/>
          <w:szCs w:val="16"/>
        </w:rPr>
        <w:t>3.4.2.4.7. Información a los trabajadores afiliados. Las entidades administradoras de riesgos laborales deben promover el conocimiento por parte de los trabajadores afiliados de las características y operación del SGRL, mediante cartillas, que deben ponerse a disposición de los trabajadores sin costo alguno.</w:t>
      </w:r>
    </w:p>
    <w:p w14:paraId="2E0DC64F" w14:textId="77777777" w:rsidR="007A3544" w:rsidRDefault="007A3544" w:rsidP="007A3544">
      <w:pPr>
        <w:pBdr>
          <w:left w:val="single" w:sz="4" w:space="1" w:color="auto"/>
        </w:pBdr>
        <w:tabs>
          <w:tab w:val="left" w:pos="720"/>
        </w:tabs>
        <w:ind w:right="51"/>
        <w:jc w:val="both"/>
        <w:rPr>
          <w:rFonts w:cs="Arial"/>
          <w:sz w:val="16"/>
          <w:szCs w:val="16"/>
        </w:rPr>
      </w:pPr>
    </w:p>
    <w:p w14:paraId="27413375" w14:textId="77777777" w:rsidR="007A3544" w:rsidRDefault="007A3544" w:rsidP="007A3544">
      <w:pPr>
        <w:pBdr>
          <w:left w:val="single" w:sz="4" w:space="1" w:color="auto"/>
        </w:pBdr>
        <w:tabs>
          <w:tab w:val="left" w:pos="720"/>
        </w:tabs>
        <w:ind w:right="51"/>
        <w:jc w:val="both"/>
        <w:rPr>
          <w:rFonts w:cs="Arial"/>
          <w:sz w:val="16"/>
          <w:szCs w:val="16"/>
        </w:rPr>
      </w:pPr>
    </w:p>
    <w:p w14:paraId="79008CB7" w14:textId="77777777" w:rsidR="007A3544" w:rsidRDefault="007A3544" w:rsidP="007A3544">
      <w:pPr>
        <w:pBdr>
          <w:left w:val="single" w:sz="4" w:space="1" w:color="auto"/>
        </w:pBdr>
        <w:tabs>
          <w:tab w:val="left" w:pos="720"/>
        </w:tabs>
        <w:ind w:right="51"/>
        <w:jc w:val="both"/>
        <w:rPr>
          <w:rFonts w:cs="Arial"/>
          <w:sz w:val="16"/>
          <w:szCs w:val="16"/>
        </w:rPr>
      </w:pPr>
    </w:p>
    <w:p w14:paraId="55DED0F0" w14:textId="77777777" w:rsidR="007A3544" w:rsidRDefault="007A3544" w:rsidP="007A3544">
      <w:pPr>
        <w:pBdr>
          <w:left w:val="single" w:sz="4" w:space="1" w:color="auto"/>
        </w:pBdr>
        <w:tabs>
          <w:tab w:val="left" w:pos="720"/>
        </w:tabs>
        <w:ind w:right="51"/>
        <w:jc w:val="both"/>
        <w:rPr>
          <w:rFonts w:cs="Arial"/>
          <w:sz w:val="16"/>
          <w:szCs w:val="16"/>
        </w:rPr>
      </w:pPr>
    </w:p>
    <w:p w14:paraId="581A26A7" w14:textId="77777777" w:rsidR="007A3544" w:rsidRDefault="007A3544" w:rsidP="007A3544">
      <w:pPr>
        <w:pBdr>
          <w:left w:val="single" w:sz="4" w:space="1" w:color="auto"/>
        </w:pBdr>
        <w:tabs>
          <w:tab w:val="left" w:pos="720"/>
        </w:tabs>
        <w:ind w:right="51"/>
        <w:jc w:val="both"/>
        <w:rPr>
          <w:rFonts w:cs="Arial"/>
          <w:sz w:val="16"/>
          <w:szCs w:val="16"/>
        </w:rPr>
      </w:pPr>
    </w:p>
    <w:p w14:paraId="6B3168F9" w14:textId="77777777" w:rsidR="007A3544" w:rsidRDefault="007A3544" w:rsidP="007A3544">
      <w:pPr>
        <w:pBdr>
          <w:left w:val="single" w:sz="4" w:space="1" w:color="auto"/>
        </w:pBdr>
        <w:tabs>
          <w:tab w:val="left" w:pos="720"/>
        </w:tabs>
        <w:ind w:right="51"/>
        <w:jc w:val="both"/>
        <w:rPr>
          <w:rFonts w:cs="Arial"/>
          <w:sz w:val="16"/>
          <w:szCs w:val="16"/>
        </w:rPr>
      </w:pPr>
    </w:p>
    <w:p w14:paraId="30195A8E" w14:textId="77777777" w:rsidR="007A3544" w:rsidRDefault="007A3544" w:rsidP="007A3544">
      <w:pPr>
        <w:pBdr>
          <w:left w:val="single" w:sz="4" w:space="1" w:color="auto"/>
        </w:pBdr>
        <w:tabs>
          <w:tab w:val="left" w:pos="720"/>
        </w:tabs>
        <w:ind w:right="51"/>
        <w:jc w:val="both"/>
        <w:rPr>
          <w:rFonts w:cs="Arial"/>
          <w:sz w:val="16"/>
          <w:szCs w:val="16"/>
        </w:rPr>
      </w:pPr>
    </w:p>
    <w:p w14:paraId="28E26CD9" w14:textId="77777777" w:rsidR="007A3544" w:rsidRDefault="007A3544" w:rsidP="007A3544">
      <w:pPr>
        <w:pBdr>
          <w:left w:val="single" w:sz="4" w:space="1" w:color="auto"/>
        </w:pBdr>
        <w:tabs>
          <w:tab w:val="left" w:pos="720"/>
        </w:tabs>
        <w:ind w:right="51"/>
        <w:jc w:val="both"/>
        <w:rPr>
          <w:rFonts w:cs="Arial"/>
          <w:sz w:val="16"/>
          <w:szCs w:val="16"/>
        </w:rPr>
      </w:pPr>
    </w:p>
    <w:p w14:paraId="0CFBF6F7" w14:textId="77777777" w:rsidR="007A3544" w:rsidRDefault="007A3544" w:rsidP="007A3544">
      <w:pPr>
        <w:pBdr>
          <w:left w:val="single" w:sz="4" w:space="1" w:color="auto"/>
        </w:pBdr>
        <w:tabs>
          <w:tab w:val="left" w:pos="720"/>
        </w:tabs>
        <w:ind w:right="51"/>
        <w:jc w:val="both"/>
        <w:rPr>
          <w:rFonts w:cs="Arial"/>
          <w:sz w:val="16"/>
          <w:szCs w:val="16"/>
        </w:rPr>
      </w:pPr>
    </w:p>
    <w:p w14:paraId="1B959CE3" w14:textId="77777777" w:rsidR="007A3544" w:rsidRDefault="007A3544" w:rsidP="007A3544">
      <w:pPr>
        <w:pBdr>
          <w:left w:val="single" w:sz="4" w:space="1" w:color="auto"/>
        </w:pBdr>
        <w:tabs>
          <w:tab w:val="left" w:pos="720"/>
        </w:tabs>
        <w:ind w:right="51"/>
        <w:jc w:val="both"/>
        <w:rPr>
          <w:rFonts w:cs="Arial"/>
          <w:sz w:val="16"/>
          <w:szCs w:val="16"/>
        </w:rPr>
      </w:pPr>
    </w:p>
    <w:p w14:paraId="6F1B9680" w14:textId="77777777" w:rsidR="007A3544" w:rsidRDefault="007A3544" w:rsidP="007A3544">
      <w:pPr>
        <w:pBdr>
          <w:left w:val="single" w:sz="4" w:space="1" w:color="auto"/>
        </w:pBdr>
        <w:tabs>
          <w:tab w:val="left" w:pos="720"/>
        </w:tabs>
        <w:ind w:right="51"/>
        <w:jc w:val="both"/>
        <w:rPr>
          <w:rFonts w:cs="Arial"/>
          <w:sz w:val="16"/>
          <w:szCs w:val="16"/>
        </w:rPr>
      </w:pPr>
    </w:p>
    <w:p w14:paraId="3D561247" w14:textId="77777777" w:rsidR="007A3544" w:rsidRDefault="007A3544" w:rsidP="007A3544">
      <w:pPr>
        <w:pBdr>
          <w:left w:val="single" w:sz="4" w:space="1" w:color="auto"/>
        </w:pBdr>
        <w:tabs>
          <w:tab w:val="left" w:pos="720"/>
        </w:tabs>
        <w:ind w:right="51"/>
        <w:jc w:val="both"/>
        <w:rPr>
          <w:rFonts w:cs="Arial"/>
          <w:sz w:val="16"/>
          <w:szCs w:val="16"/>
        </w:rPr>
      </w:pPr>
    </w:p>
    <w:p w14:paraId="11CEBB61" w14:textId="77777777" w:rsidR="007A3544" w:rsidRDefault="007A3544" w:rsidP="007A3544">
      <w:pPr>
        <w:pBdr>
          <w:left w:val="single" w:sz="4" w:space="1" w:color="auto"/>
        </w:pBdr>
        <w:tabs>
          <w:tab w:val="left" w:pos="720"/>
        </w:tabs>
        <w:ind w:right="51"/>
        <w:jc w:val="both"/>
        <w:rPr>
          <w:rFonts w:cs="Arial"/>
          <w:sz w:val="16"/>
          <w:szCs w:val="16"/>
        </w:rPr>
      </w:pPr>
    </w:p>
    <w:p w14:paraId="2099AE8A" w14:textId="77777777" w:rsidR="007A3544" w:rsidRDefault="007A3544" w:rsidP="007A3544">
      <w:pPr>
        <w:pBdr>
          <w:left w:val="single" w:sz="4" w:space="1" w:color="auto"/>
        </w:pBdr>
        <w:tabs>
          <w:tab w:val="left" w:pos="720"/>
        </w:tabs>
        <w:ind w:right="51"/>
        <w:jc w:val="both"/>
        <w:rPr>
          <w:rFonts w:cs="Arial"/>
          <w:sz w:val="16"/>
          <w:szCs w:val="16"/>
        </w:rPr>
      </w:pPr>
    </w:p>
    <w:p w14:paraId="4FAC7516" w14:textId="77777777" w:rsidR="007A3544" w:rsidRDefault="007A3544" w:rsidP="007A3544">
      <w:pPr>
        <w:pBdr>
          <w:left w:val="single" w:sz="4" w:space="1" w:color="auto"/>
        </w:pBdr>
        <w:tabs>
          <w:tab w:val="left" w:pos="720"/>
        </w:tabs>
        <w:ind w:right="51"/>
        <w:jc w:val="both"/>
        <w:rPr>
          <w:rFonts w:cs="Arial"/>
          <w:sz w:val="16"/>
          <w:szCs w:val="16"/>
        </w:rPr>
      </w:pPr>
    </w:p>
    <w:p w14:paraId="02CF59DB" w14:textId="77777777" w:rsidR="007A3544" w:rsidRDefault="007A3544" w:rsidP="007A3544">
      <w:pPr>
        <w:pBdr>
          <w:left w:val="single" w:sz="4" w:space="1" w:color="auto"/>
        </w:pBdr>
        <w:tabs>
          <w:tab w:val="left" w:pos="720"/>
        </w:tabs>
        <w:ind w:right="51"/>
        <w:jc w:val="both"/>
        <w:rPr>
          <w:rFonts w:cs="Arial"/>
          <w:sz w:val="16"/>
          <w:szCs w:val="16"/>
        </w:rPr>
      </w:pPr>
    </w:p>
    <w:p w14:paraId="6B1F90BA" w14:textId="77777777" w:rsidR="007A3544" w:rsidRDefault="007A3544" w:rsidP="007A3544">
      <w:pPr>
        <w:pBdr>
          <w:left w:val="single" w:sz="4" w:space="1" w:color="auto"/>
        </w:pBdr>
        <w:tabs>
          <w:tab w:val="left" w:pos="720"/>
        </w:tabs>
        <w:ind w:right="51"/>
        <w:jc w:val="both"/>
        <w:rPr>
          <w:rFonts w:cs="Arial"/>
          <w:sz w:val="16"/>
          <w:szCs w:val="16"/>
        </w:rPr>
      </w:pPr>
    </w:p>
    <w:p w14:paraId="63580F1F" w14:textId="77777777" w:rsidR="007A3544" w:rsidRDefault="007A3544" w:rsidP="007A3544">
      <w:pPr>
        <w:pBdr>
          <w:left w:val="single" w:sz="4" w:space="1" w:color="auto"/>
        </w:pBdr>
        <w:tabs>
          <w:tab w:val="left" w:pos="720"/>
        </w:tabs>
        <w:ind w:right="51"/>
        <w:jc w:val="both"/>
        <w:rPr>
          <w:rFonts w:cs="Arial"/>
          <w:sz w:val="16"/>
          <w:szCs w:val="16"/>
        </w:rPr>
      </w:pPr>
    </w:p>
    <w:p w14:paraId="428D06CB" w14:textId="77777777" w:rsidR="007A3544" w:rsidRDefault="007A3544" w:rsidP="007A3544">
      <w:pPr>
        <w:pBdr>
          <w:left w:val="single" w:sz="4" w:space="1" w:color="auto"/>
        </w:pBdr>
        <w:tabs>
          <w:tab w:val="left" w:pos="720"/>
        </w:tabs>
        <w:ind w:right="51"/>
        <w:jc w:val="both"/>
        <w:rPr>
          <w:rFonts w:cs="Arial"/>
          <w:sz w:val="16"/>
          <w:szCs w:val="16"/>
        </w:rPr>
      </w:pPr>
    </w:p>
    <w:p w14:paraId="3B9D918E" w14:textId="77777777" w:rsidR="007A3544" w:rsidRDefault="007A3544" w:rsidP="007A3544">
      <w:pPr>
        <w:pBdr>
          <w:left w:val="single" w:sz="4" w:space="1" w:color="auto"/>
        </w:pBdr>
        <w:tabs>
          <w:tab w:val="left" w:pos="720"/>
        </w:tabs>
        <w:ind w:right="51"/>
        <w:jc w:val="both"/>
        <w:rPr>
          <w:rFonts w:cs="Arial"/>
          <w:sz w:val="16"/>
          <w:szCs w:val="16"/>
        </w:rPr>
      </w:pPr>
    </w:p>
    <w:p w14:paraId="5A830DE1" w14:textId="77777777" w:rsidR="007A3544" w:rsidRDefault="007A3544" w:rsidP="007A3544">
      <w:pPr>
        <w:pBdr>
          <w:left w:val="single" w:sz="4" w:space="1" w:color="auto"/>
        </w:pBdr>
        <w:tabs>
          <w:tab w:val="left" w:pos="720"/>
        </w:tabs>
        <w:ind w:right="51"/>
        <w:jc w:val="both"/>
        <w:rPr>
          <w:rFonts w:cs="Arial"/>
          <w:sz w:val="16"/>
          <w:szCs w:val="16"/>
        </w:rPr>
      </w:pPr>
    </w:p>
    <w:p w14:paraId="6A3FB3DB" w14:textId="77777777" w:rsidR="007A3544" w:rsidRDefault="007A3544" w:rsidP="007A3544">
      <w:pPr>
        <w:pBdr>
          <w:left w:val="single" w:sz="4" w:space="1" w:color="auto"/>
        </w:pBdr>
        <w:tabs>
          <w:tab w:val="left" w:pos="720"/>
        </w:tabs>
        <w:ind w:right="51"/>
        <w:jc w:val="both"/>
        <w:rPr>
          <w:rFonts w:cs="Arial"/>
          <w:sz w:val="16"/>
          <w:szCs w:val="16"/>
        </w:rPr>
      </w:pPr>
    </w:p>
    <w:p w14:paraId="465615A7" w14:textId="77777777" w:rsidR="007A3544" w:rsidRDefault="007A3544" w:rsidP="007A3544">
      <w:pPr>
        <w:pBdr>
          <w:left w:val="single" w:sz="4" w:space="1" w:color="auto"/>
        </w:pBdr>
        <w:tabs>
          <w:tab w:val="left" w:pos="720"/>
        </w:tabs>
        <w:ind w:right="51"/>
        <w:jc w:val="both"/>
        <w:rPr>
          <w:rFonts w:cs="Arial"/>
          <w:sz w:val="16"/>
          <w:szCs w:val="16"/>
        </w:rPr>
      </w:pPr>
    </w:p>
    <w:p w14:paraId="08937167" w14:textId="77777777" w:rsidR="007A3544" w:rsidRDefault="007A3544" w:rsidP="007A3544">
      <w:pPr>
        <w:pBdr>
          <w:left w:val="single" w:sz="4" w:space="1" w:color="auto"/>
        </w:pBdr>
        <w:tabs>
          <w:tab w:val="left" w:pos="720"/>
        </w:tabs>
        <w:ind w:right="51"/>
        <w:jc w:val="both"/>
        <w:rPr>
          <w:rFonts w:cs="Arial"/>
          <w:sz w:val="16"/>
          <w:szCs w:val="16"/>
        </w:rPr>
      </w:pPr>
    </w:p>
    <w:p w14:paraId="07E62762" w14:textId="77777777" w:rsidR="007A3544" w:rsidRDefault="007A3544" w:rsidP="007A3544">
      <w:pPr>
        <w:pBdr>
          <w:left w:val="single" w:sz="4" w:space="1" w:color="auto"/>
        </w:pBdr>
        <w:tabs>
          <w:tab w:val="left" w:pos="720"/>
        </w:tabs>
        <w:ind w:right="51"/>
        <w:jc w:val="both"/>
        <w:rPr>
          <w:rFonts w:cs="Arial"/>
          <w:sz w:val="16"/>
          <w:szCs w:val="16"/>
        </w:rPr>
      </w:pPr>
    </w:p>
    <w:p w14:paraId="3BF529C9" w14:textId="77777777" w:rsidR="007A3544" w:rsidRDefault="007A3544" w:rsidP="007A3544">
      <w:pPr>
        <w:pBdr>
          <w:left w:val="single" w:sz="4" w:space="1" w:color="auto"/>
        </w:pBdr>
        <w:tabs>
          <w:tab w:val="left" w:pos="720"/>
        </w:tabs>
        <w:ind w:right="51"/>
        <w:jc w:val="both"/>
        <w:rPr>
          <w:rFonts w:cs="Arial"/>
          <w:sz w:val="16"/>
          <w:szCs w:val="16"/>
        </w:rPr>
      </w:pPr>
    </w:p>
    <w:p w14:paraId="00A1BD89" w14:textId="77777777" w:rsidR="007A3544" w:rsidRDefault="007A3544" w:rsidP="007A3544">
      <w:pPr>
        <w:pBdr>
          <w:left w:val="single" w:sz="4" w:space="1" w:color="auto"/>
        </w:pBdr>
        <w:tabs>
          <w:tab w:val="left" w:pos="720"/>
        </w:tabs>
        <w:ind w:right="51"/>
        <w:jc w:val="both"/>
        <w:rPr>
          <w:rFonts w:cs="Arial"/>
          <w:sz w:val="16"/>
          <w:szCs w:val="16"/>
        </w:rPr>
      </w:pPr>
    </w:p>
    <w:p w14:paraId="4D716D94" w14:textId="77777777" w:rsidR="007A3544" w:rsidRDefault="007A3544" w:rsidP="007A3544">
      <w:pPr>
        <w:pBdr>
          <w:left w:val="single" w:sz="4" w:space="1" w:color="auto"/>
        </w:pBdr>
        <w:tabs>
          <w:tab w:val="left" w:pos="720"/>
        </w:tabs>
        <w:ind w:right="51"/>
        <w:jc w:val="both"/>
        <w:rPr>
          <w:rFonts w:cs="Arial"/>
          <w:sz w:val="16"/>
          <w:szCs w:val="16"/>
        </w:rPr>
      </w:pPr>
    </w:p>
    <w:p w14:paraId="0AC7F0F4" w14:textId="77777777" w:rsidR="007A3544" w:rsidRDefault="007A3544" w:rsidP="007A3544">
      <w:pPr>
        <w:pBdr>
          <w:left w:val="single" w:sz="4" w:space="1" w:color="auto"/>
        </w:pBdr>
        <w:tabs>
          <w:tab w:val="left" w:pos="720"/>
        </w:tabs>
        <w:ind w:right="51"/>
        <w:jc w:val="both"/>
        <w:rPr>
          <w:rFonts w:cs="Arial"/>
          <w:sz w:val="16"/>
          <w:szCs w:val="16"/>
        </w:rPr>
      </w:pPr>
    </w:p>
    <w:p w14:paraId="7250F101" w14:textId="77777777" w:rsidR="007A3544" w:rsidRDefault="007A3544" w:rsidP="007A3544">
      <w:pPr>
        <w:pBdr>
          <w:left w:val="single" w:sz="4" w:space="1" w:color="auto"/>
        </w:pBdr>
        <w:tabs>
          <w:tab w:val="left" w:pos="720"/>
        </w:tabs>
        <w:ind w:right="51"/>
        <w:jc w:val="both"/>
        <w:rPr>
          <w:rFonts w:cs="Arial"/>
          <w:sz w:val="16"/>
          <w:szCs w:val="16"/>
        </w:rPr>
      </w:pPr>
    </w:p>
    <w:p w14:paraId="31DA17F3" w14:textId="77777777" w:rsidR="007A3544" w:rsidRDefault="007A3544" w:rsidP="007A3544">
      <w:pPr>
        <w:pBdr>
          <w:left w:val="single" w:sz="4" w:space="1" w:color="auto"/>
        </w:pBdr>
        <w:tabs>
          <w:tab w:val="left" w:pos="720"/>
        </w:tabs>
        <w:ind w:right="51"/>
        <w:jc w:val="both"/>
        <w:rPr>
          <w:rFonts w:cs="Arial"/>
          <w:sz w:val="16"/>
          <w:szCs w:val="16"/>
        </w:rPr>
      </w:pPr>
    </w:p>
    <w:p w14:paraId="18C25C0D" w14:textId="77777777" w:rsidR="007A3544" w:rsidRDefault="007A3544" w:rsidP="007A3544">
      <w:pPr>
        <w:pBdr>
          <w:left w:val="single" w:sz="4" w:space="1" w:color="auto"/>
        </w:pBdr>
        <w:tabs>
          <w:tab w:val="left" w:pos="720"/>
        </w:tabs>
        <w:ind w:right="51"/>
        <w:jc w:val="both"/>
        <w:rPr>
          <w:rFonts w:cs="Arial"/>
          <w:sz w:val="16"/>
          <w:szCs w:val="16"/>
        </w:rPr>
      </w:pPr>
    </w:p>
    <w:p w14:paraId="3214B7B9" w14:textId="77777777" w:rsidR="007A3544" w:rsidRDefault="007A3544" w:rsidP="007A3544">
      <w:pPr>
        <w:pBdr>
          <w:left w:val="single" w:sz="4" w:space="1" w:color="auto"/>
        </w:pBdr>
        <w:tabs>
          <w:tab w:val="left" w:pos="720"/>
        </w:tabs>
        <w:ind w:right="51"/>
        <w:jc w:val="both"/>
        <w:rPr>
          <w:rFonts w:cs="Arial"/>
          <w:sz w:val="16"/>
          <w:szCs w:val="16"/>
        </w:rPr>
      </w:pPr>
    </w:p>
    <w:p w14:paraId="21595DEF" w14:textId="77777777" w:rsidR="007A3544" w:rsidRDefault="007A3544" w:rsidP="007A3544">
      <w:pPr>
        <w:pBdr>
          <w:left w:val="single" w:sz="4" w:space="1" w:color="auto"/>
        </w:pBdr>
        <w:tabs>
          <w:tab w:val="left" w:pos="720"/>
        </w:tabs>
        <w:ind w:right="51"/>
        <w:jc w:val="both"/>
        <w:rPr>
          <w:rFonts w:cs="Arial"/>
          <w:sz w:val="16"/>
          <w:szCs w:val="16"/>
        </w:rPr>
      </w:pPr>
    </w:p>
    <w:p w14:paraId="3FB26023" w14:textId="77777777" w:rsidR="007A3544" w:rsidRDefault="007A3544" w:rsidP="007A3544">
      <w:pPr>
        <w:pBdr>
          <w:left w:val="single" w:sz="4" w:space="1" w:color="auto"/>
        </w:pBdr>
        <w:tabs>
          <w:tab w:val="left" w:pos="720"/>
        </w:tabs>
        <w:ind w:right="51"/>
        <w:jc w:val="both"/>
        <w:rPr>
          <w:rFonts w:cs="Arial"/>
          <w:sz w:val="16"/>
          <w:szCs w:val="16"/>
        </w:rPr>
      </w:pPr>
    </w:p>
    <w:p w14:paraId="765A186D" w14:textId="77777777" w:rsidR="007A3544" w:rsidRDefault="007A3544" w:rsidP="007A3544">
      <w:pPr>
        <w:pBdr>
          <w:left w:val="single" w:sz="4" w:space="1" w:color="auto"/>
        </w:pBdr>
        <w:tabs>
          <w:tab w:val="left" w:pos="720"/>
        </w:tabs>
        <w:ind w:right="51"/>
        <w:jc w:val="both"/>
        <w:rPr>
          <w:rFonts w:cs="Arial"/>
          <w:sz w:val="16"/>
          <w:szCs w:val="16"/>
        </w:rPr>
      </w:pPr>
    </w:p>
    <w:p w14:paraId="243D2D62" w14:textId="77777777" w:rsidR="007A3544" w:rsidRDefault="007A3544" w:rsidP="007A3544">
      <w:pPr>
        <w:pBdr>
          <w:left w:val="single" w:sz="4" w:space="1" w:color="auto"/>
        </w:pBdr>
        <w:tabs>
          <w:tab w:val="left" w:pos="720"/>
        </w:tabs>
        <w:ind w:right="51"/>
        <w:jc w:val="both"/>
        <w:rPr>
          <w:rFonts w:cs="Arial"/>
          <w:sz w:val="16"/>
          <w:szCs w:val="16"/>
        </w:rPr>
      </w:pPr>
    </w:p>
    <w:p w14:paraId="370FD044" w14:textId="77777777" w:rsidR="007A3544" w:rsidRDefault="007A3544" w:rsidP="007A3544">
      <w:pPr>
        <w:pBdr>
          <w:left w:val="single" w:sz="4" w:space="1" w:color="auto"/>
        </w:pBdr>
        <w:tabs>
          <w:tab w:val="left" w:pos="720"/>
        </w:tabs>
        <w:ind w:right="51"/>
        <w:jc w:val="both"/>
        <w:rPr>
          <w:rFonts w:cs="Arial"/>
          <w:sz w:val="16"/>
          <w:szCs w:val="16"/>
        </w:rPr>
      </w:pPr>
    </w:p>
    <w:p w14:paraId="72DD3BDC" w14:textId="77777777" w:rsidR="007A3544" w:rsidRDefault="007A3544" w:rsidP="007A3544">
      <w:pPr>
        <w:pBdr>
          <w:left w:val="single" w:sz="4" w:space="1" w:color="auto"/>
        </w:pBdr>
        <w:tabs>
          <w:tab w:val="left" w:pos="720"/>
        </w:tabs>
        <w:ind w:right="51"/>
        <w:jc w:val="both"/>
        <w:rPr>
          <w:rFonts w:cs="Arial"/>
          <w:sz w:val="16"/>
          <w:szCs w:val="16"/>
        </w:rPr>
      </w:pPr>
    </w:p>
    <w:p w14:paraId="54C6202B" w14:textId="77777777" w:rsidR="007A3544" w:rsidRDefault="007A3544" w:rsidP="007A3544">
      <w:pPr>
        <w:pBdr>
          <w:left w:val="single" w:sz="4" w:space="1" w:color="auto"/>
        </w:pBdr>
        <w:tabs>
          <w:tab w:val="left" w:pos="720"/>
        </w:tabs>
        <w:ind w:right="51"/>
        <w:jc w:val="both"/>
        <w:rPr>
          <w:rFonts w:cs="Arial"/>
          <w:sz w:val="16"/>
          <w:szCs w:val="16"/>
        </w:rPr>
      </w:pPr>
    </w:p>
    <w:p w14:paraId="031303D0" w14:textId="77777777" w:rsidR="007A3544" w:rsidRDefault="007A3544" w:rsidP="007A3544">
      <w:pPr>
        <w:pBdr>
          <w:left w:val="single" w:sz="4" w:space="1" w:color="auto"/>
        </w:pBdr>
        <w:tabs>
          <w:tab w:val="left" w:pos="720"/>
        </w:tabs>
        <w:ind w:right="51"/>
        <w:jc w:val="both"/>
        <w:rPr>
          <w:rFonts w:cs="Arial"/>
          <w:sz w:val="16"/>
          <w:szCs w:val="16"/>
        </w:rPr>
      </w:pPr>
    </w:p>
    <w:p w14:paraId="2A8DAE38" w14:textId="77777777" w:rsidR="007A3544" w:rsidRDefault="007A3544" w:rsidP="007A3544">
      <w:pPr>
        <w:pBdr>
          <w:left w:val="single" w:sz="4" w:space="1" w:color="auto"/>
        </w:pBdr>
        <w:tabs>
          <w:tab w:val="left" w:pos="720"/>
        </w:tabs>
        <w:ind w:right="51"/>
        <w:jc w:val="both"/>
        <w:rPr>
          <w:rFonts w:cs="Arial"/>
          <w:sz w:val="16"/>
          <w:szCs w:val="16"/>
        </w:rPr>
      </w:pPr>
    </w:p>
    <w:p w14:paraId="697415A8" w14:textId="77777777" w:rsidR="007A3544" w:rsidRDefault="007A3544" w:rsidP="007A3544">
      <w:pPr>
        <w:pBdr>
          <w:left w:val="single" w:sz="4" w:space="1" w:color="auto"/>
        </w:pBdr>
        <w:tabs>
          <w:tab w:val="left" w:pos="720"/>
        </w:tabs>
        <w:ind w:right="51"/>
        <w:jc w:val="both"/>
        <w:rPr>
          <w:rFonts w:cs="Arial"/>
          <w:sz w:val="16"/>
          <w:szCs w:val="16"/>
        </w:rPr>
      </w:pPr>
    </w:p>
    <w:p w14:paraId="48470F0C" w14:textId="77777777" w:rsidR="007A3544" w:rsidRDefault="007A3544" w:rsidP="007A3544">
      <w:pPr>
        <w:pBdr>
          <w:left w:val="single" w:sz="4" w:space="1" w:color="auto"/>
        </w:pBdr>
        <w:tabs>
          <w:tab w:val="left" w:pos="720"/>
        </w:tabs>
        <w:ind w:right="51"/>
        <w:jc w:val="both"/>
        <w:rPr>
          <w:rFonts w:cs="Arial"/>
          <w:sz w:val="16"/>
          <w:szCs w:val="16"/>
        </w:rPr>
      </w:pPr>
    </w:p>
    <w:p w14:paraId="017E5B80" w14:textId="77777777" w:rsidR="007A3544" w:rsidRDefault="007A3544" w:rsidP="007A3544">
      <w:pPr>
        <w:pBdr>
          <w:left w:val="single" w:sz="4" w:space="1" w:color="auto"/>
        </w:pBdr>
        <w:tabs>
          <w:tab w:val="left" w:pos="720"/>
        </w:tabs>
        <w:ind w:right="51"/>
        <w:jc w:val="both"/>
        <w:rPr>
          <w:rFonts w:cs="Arial"/>
          <w:sz w:val="16"/>
          <w:szCs w:val="16"/>
        </w:rPr>
      </w:pPr>
    </w:p>
    <w:p w14:paraId="08D4180D" w14:textId="77777777" w:rsidR="007A3544" w:rsidRDefault="007A3544" w:rsidP="007A3544">
      <w:pPr>
        <w:pBdr>
          <w:left w:val="single" w:sz="4" w:space="1" w:color="auto"/>
        </w:pBdr>
        <w:tabs>
          <w:tab w:val="left" w:pos="720"/>
        </w:tabs>
        <w:ind w:right="51"/>
        <w:jc w:val="both"/>
        <w:rPr>
          <w:rFonts w:cs="Arial"/>
          <w:sz w:val="16"/>
          <w:szCs w:val="16"/>
        </w:rPr>
      </w:pPr>
    </w:p>
    <w:p w14:paraId="0B269B3A" w14:textId="77777777" w:rsidR="007A3544" w:rsidRDefault="007A3544" w:rsidP="007A3544">
      <w:pPr>
        <w:pBdr>
          <w:left w:val="single" w:sz="4" w:space="1" w:color="auto"/>
        </w:pBdr>
        <w:tabs>
          <w:tab w:val="left" w:pos="720"/>
        </w:tabs>
        <w:ind w:right="51"/>
        <w:jc w:val="both"/>
        <w:rPr>
          <w:rFonts w:cs="Arial"/>
          <w:sz w:val="16"/>
          <w:szCs w:val="16"/>
        </w:rPr>
      </w:pPr>
    </w:p>
    <w:p w14:paraId="032ACE4E" w14:textId="77777777" w:rsidR="007A3544" w:rsidRDefault="007A3544" w:rsidP="007A3544">
      <w:pPr>
        <w:pBdr>
          <w:left w:val="single" w:sz="4" w:space="1" w:color="auto"/>
        </w:pBdr>
        <w:tabs>
          <w:tab w:val="left" w:pos="720"/>
        </w:tabs>
        <w:ind w:right="51"/>
        <w:jc w:val="both"/>
        <w:rPr>
          <w:rFonts w:cs="Arial"/>
          <w:sz w:val="16"/>
          <w:szCs w:val="16"/>
        </w:rPr>
      </w:pPr>
    </w:p>
    <w:p w14:paraId="5BB6435D" w14:textId="77777777" w:rsidR="007A3544" w:rsidRDefault="007A3544" w:rsidP="007A3544">
      <w:pPr>
        <w:pBdr>
          <w:left w:val="single" w:sz="4" w:space="1" w:color="auto"/>
        </w:pBdr>
        <w:tabs>
          <w:tab w:val="left" w:pos="720"/>
        </w:tabs>
        <w:ind w:right="51"/>
        <w:jc w:val="both"/>
        <w:rPr>
          <w:rFonts w:cs="Arial"/>
          <w:sz w:val="16"/>
          <w:szCs w:val="16"/>
        </w:rPr>
      </w:pPr>
    </w:p>
    <w:p w14:paraId="7DA05C46" w14:textId="77777777" w:rsidR="007A3544" w:rsidRDefault="007A3544" w:rsidP="007A3544">
      <w:pPr>
        <w:pBdr>
          <w:left w:val="single" w:sz="4" w:space="1" w:color="auto"/>
        </w:pBdr>
        <w:tabs>
          <w:tab w:val="left" w:pos="720"/>
        </w:tabs>
        <w:ind w:right="51"/>
        <w:jc w:val="both"/>
        <w:rPr>
          <w:rFonts w:cs="Arial"/>
          <w:sz w:val="16"/>
          <w:szCs w:val="16"/>
        </w:rPr>
      </w:pPr>
    </w:p>
    <w:p w14:paraId="1AA536E0" w14:textId="77777777" w:rsidR="007A3544" w:rsidRDefault="007A3544" w:rsidP="007A3544">
      <w:pPr>
        <w:pBdr>
          <w:left w:val="single" w:sz="4" w:space="1" w:color="auto"/>
        </w:pBdr>
        <w:tabs>
          <w:tab w:val="left" w:pos="720"/>
        </w:tabs>
        <w:ind w:right="51"/>
        <w:jc w:val="both"/>
        <w:rPr>
          <w:rFonts w:cs="Arial"/>
          <w:sz w:val="16"/>
          <w:szCs w:val="16"/>
        </w:rPr>
      </w:pPr>
    </w:p>
    <w:p w14:paraId="0B051034" w14:textId="77777777" w:rsidR="007A3544" w:rsidRDefault="007A3544" w:rsidP="007A3544">
      <w:pPr>
        <w:pBdr>
          <w:left w:val="single" w:sz="4" w:space="1" w:color="auto"/>
        </w:pBdr>
        <w:tabs>
          <w:tab w:val="left" w:pos="720"/>
        </w:tabs>
        <w:ind w:right="51"/>
        <w:jc w:val="both"/>
        <w:rPr>
          <w:rFonts w:cs="Arial"/>
          <w:sz w:val="16"/>
          <w:szCs w:val="16"/>
        </w:rPr>
      </w:pPr>
    </w:p>
    <w:p w14:paraId="4F49A67C" w14:textId="77777777" w:rsidR="007A3544" w:rsidRDefault="007A3544" w:rsidP="007A3544">
      <w:pPr>
        <w:pBdr>
          <w:left w:val="single" w:sz="4" w:space="1" w:color="auto"/>
        </w:pBdr>
        <w:tabs>
          <w:tab w:val="left" w:pos="720"/>
        </w:tabs>
        <w:ind w:right="51"/>
        <w:jc w:val="both"/>
        <w:rPr>
          <w:rFonts w:cs="Arial"/>
          <w:sz w:val="16"/>
          <w:szCs w:val="16"/>
        </w:rPr>
      </w:pPr>
    </w:p>
    <w:p w14:paraId="1B6035DA" w14:textId="77777777" w:rsidR="007A3544" w:rsidRDefault="007A3544" w:rsidP="007A3544">
      <w:pPr>
        <w:pBdr>
          <w:left w:val="single" w:sz="4" w:space="1" w:color="auto"/>
        </w:pBdr>
        <w:tabs>
          <w:tab w:val="left" w:pos="720"/>
        </w:tabs>
        <w:ind w:right="51"/>
        <w:jc w:val="both"/>
        <w:rPr>
          <w:rFonts w:cs="Arial"/>
          <w:sz w:val="16"/>
          <w:szCs w:val="16"/>
        </w:rPr>
      </w:pPr>
    </w:p>
    <w:p w14:paraId="4BC1074C" w14:textId="77777777" w:rsidR="007A3544" w:rsidRDefault="007A3544" w:rsidP="007A3544">
      <w:pPr>
        <w:pBdr>
          <w:left w:val="single" w:sz="4" w:space="1" w:color="auto"/>
        </w:pBdr>
        <w:tabs>
          <w:tab w:val="left" w:pos="720"/>
        </w:tabs>
        <w:ind w:right="51"/>
        <w:jc w:val="both"/>
        <w:rPr>
          <w:rFonts w:cs="Arial"/>
          <w:sz w:val="16"/>
          <w:szCs w:val="16"/>
        </w:rPr>
      </w:pPr>
    </w:p>
    <w:p w14:paraId="41325B45" w14:textId="77777777" w:rsidR="007A3544" w:rsidRDefault="007A3544" w:rsidP="007A3544">
      <w:pPr>
        <w:pBdr>
          <w:left w:val="single" w:sz="4" w:space="1" w:color="auto"/>
        </w:pBdr>
        <w:tabs>
          <w:tab w:val="left" w:pos="720"/>
        </w:tabs>
        <w:ind w:right="51"/>
        <w:jc w:val="both"/>
        <w:rPr>
          <w:rFonts w:cs="Arial"/>
          <w:sz w:val="16"/>
          <w:szCs w:val="16"/>
        </w:rPr>
      </w:pPr>
    </w:p>
    <w:p w14:paraId="256EE4B9" w14:textId="77777777" w:rsidR="007A3544" w:rsidRDefault="007A3544" w:rsidP="007A3544">
      <w:pPr>
        <w:pBdr>
          <w:left w:val="single" w:sz="4" w:space="1" w:color="auto"/>
        </w:pBdr>
        <w:tabs>
          <w:tab w:val="left" w:pos="720"/>
        </w:tabs>
        <w:ind w:right="51"/>
        <w:jc w:val="both"/>
        <w:rPr>
          <w:rFonts w:cs="Arial"/>
          <w:sz w:val="16"/>
          <w:szCs w:val="16"/>
        </w:rPr>
      </w:pPr>
    </w:p>
    <w:p w14:paraId="5BA738AE" w14:textId="77777777" w:rsidR="007A3544" w:rsidRDefault="007A3544" w:rsidP="007A3544">
      <w:pPr>
        <w:pBdr>
          <w:left w:val="single" w:sz="4" w:space="1" w:color="auto"/>
        </w:pBdr>
        <w:tabs>
          <w:tab w:val="left" w:pos="720"/>
        </w:tabs>
        <w:ind w:right="51"/>
        <w:jc w:val="both"/>
        <w:rPr>
          <w:rFonts w:cs="Arial"/>
          <w:sz w:val="16"/>
          <w:szCs w:val="16"/>
        </w:rPr>
      </w:pPr>
    </w:p>
    <w:p w14:paraId="71EFB64C" w14:textId="77777777" w:rsidR="007A3544" w:rsidRDefault="007A3544" w:rsidP="007A3544">
      <w:pPr>
        <w:pBdr>
          <w:left w:val="single" w:sz="4" w:space="1" w:color="auto"/>
        </w:pBdr>
        <w:tabs>
          <w:tab w:val="left" w:pos="720"/>
        </w:tabs>
        <w:ind w:right="51"/>
        <w:jc w:val="both"/>
        <w:rPr>
          <w:rFonts w:cs="Arial"/>
          <w:sz w:val="16"/>
          <w:szCs w:val="16"/>
        </w:rPr>
      </w:pPr>
    </w:p>
    <w:p w14:paraId="48CF8B96" w14:textId="77777777" w:rsidR="007A3544" w:rsidRDefault="007A3544" w:rsidP="007A3544">
      <w:pPr>
        <w:pBdr>
          <w:left w:val="single" w:sz="4" w:space="1" w:color="auto"/>
        </w:pBdr>
        <w:tabs>
          <w:tab w:val="left" w:pos="720"/>
        </w:tabs>
        <w:ind w:right="51"/>
        <w:jc w:val="both"/>
        <w:rPr>
          <w:rFonts w:cs="Arial"/>
          <w:sz w:val="16"/>
          <w:szCs w:val="16"/>
        </w:rPr>
      </w:pPr>
    </w:p>
    <w:p w14:paraId="4CE66D7A" w14:textId="77777777" w:rsidR="007A3544" w:rsidRDefault="007A3544" w:rsidP="007A3544">
      <w:pPr>
        <w:pBdr>
          <w:left w:val="single" w:sz="4" w:space="1" w:color="auto"/>
        </w:pBdr>
        <w:tabs>
          <w:tab w:val="left" w:pos="720"/>
        </w:tabs>
        <w:ind w:right="51"/>
        <w:jc w:val="both"/>
        <w:rPr>
          <w:rFonts w:cs="Arial"/>
          <w:sz w:val="16"/>
          <w:szCs w:val="16"/>
        </w:rPr>
      </w:pPr>
    </w:p>
    <w:p w14:paraId="6606CEBF" w14:textId="77777777" w:rsidR="007A3544" w:rsidRDefault="007A3544" w:rsidP="007A3544">
      <w:pPr>
        <w:pBdr>
          <w:left w:val="single" w:sz="4" w:space="1" w:color="auto"/>
        </w:pBdr>
        <w:tabs>
          <w:tab w:val="left" w:pos="720"/>
        </w:tabs>
        <w:ind w:right="51"/>
        <w:jc w:val="both"/>
        <w:rPr>
          <w:rFonts w:cs="Arial"/>
          <w:sz w:val="16"/>
          <w:szCs w:val="16"/>
        </w:rPr>
      </w:pPr>
    </w:p>
    <w:p w14:paraId="7813AD00" w14:textId="77777777" w:rsidR="007A3544" w:rsidRDefault="007A3544" w:rsidP="007A3544">
      <w:pPr>
        <w:pBdr>
          <w:left w:val="single" w:sz="4" w:space="1" w:color="auto"/>
        </w:pBdr>
        <w:tabs>
          <w:tab w:val="left" w:pos="720"/>
        </w:tabs>
        <w:ind w:right="51"/>
        <w:jc w:val="both"/>
        <w:rPr>
          <w:rFonts w:cs="Arial"/>
          <w:sz w:val="16"/>
          <w:szCs w:val="16"/>
        </w:rPr>
      </w:pPr>
    </w:p>
    <w:p w14:paraId="3ED6C79B" w14:textId="77777777" w:rsidR="007A3544" w:rsidRDefault="007A3544" w:rsidP="007A3544">
      <w:pPr>
        <w:pBdr>
          <w:left w:val="single" w:sz="4" w:space="1" w:color="auto"/>
        </w:pBdr>
        <w:tabs>
          <w:tab w:val="left" w:pos="720"/>
        </w:tabs>
        <w:ind w:right="51"/>
        <w:jc w:val="both"/>
        <w:rPr>
          <w:rFonts w:cs="Arial"/>
          <w:sz w:val="16"/>
          <w:szCs w:val="16"/>
        </w:rPr>
      </w:pPr>
    </w:p>
    <w:p w14:paraId="3112393B" w14:textId="77777777" w:rsidR="007A3544" w:rsidRDefault="007A3544" w:rsidP="007A3544">
      <w:pPr>
        <w:pBdr>
          <w:left w:val="single" w:sz="4" w:space="1" w:color="auto"/>
        </w:pBdr>
        <w:tabs>
          <w:tab w:val="left" w:pos="720"/>
        </w:tabs>
        <w:ind w:right="51"/>
        <w:jc w:val="both"/>
        <w:rPr>
          <w:rFonts w:cs="Arial"/>
          <w:sz w:val="16"/>
          <w:szCs w:val="16"/>
        </w:rPr>
      </w:pPr>
    </w:p>
    <w:p w14:paraId="2A2159F1" w14:textId="77777777" w:rsidR="007A3544" w:rsidRDefault="007A3544" w:rsidP="007A3544">
      <w:pPr>
        <w:pBdr>
          <w:left w:val="single" w:sz="4" w:space="1" w:color="auto"/>
        </w:pBdr>
        <w:tabs>
          <w:tab w:val="left" w:pos="720"/>
        </w:tabs>
        <w:ind w:right="51"/>
        <w:jc w:val="both"/>
        <w:rPr>
          <w:rFonts w:cs="Arial"/>
          <w:sz w:val="16"/>
          <w:szCs w:val="16"/>
        </w:rPr>
      </w:pPr>
    </w:p>
    <w:p w14:paraId="5A200DC0" w14:textId="77777777" w:rsidR="007A3544" w:rsidRDefault="007A3544" w:rsidP="007A3544">
      <w:pPr>
        <w:pBdr>
          <w:left w:val="single" w:sz="4" w:space="1" w:color="auto"/>
        </w:pBdr>
        <w:tabs>
          <w:tab w:val="left" w:pos="720"/>
        </w:tabs>
        <w:ind w:right="51"/>
        <w:jc w:val="both"/>
        <w:rPr>
          <w:rFonts w:cs="Arial"/>
          <w:sz w:val="16"/>
          <w:szCs w:val="16"/>
        </w:rPr>
      </w:pPr>
    </w:p>
    <w:p w14:paraId="4737C3AC" w14:textId="77777777" w:rsidR="007A3544" w:rsidRDefault="007A3544" w:rsidP="007A3544">
      <w:pPr>
        <w:pBdr>
          <w:left w:val="single" w:sz="4" w:space="1" w:color="auto"/>
        </w:pBdr>
        <w:tabs>
          <w:tab w:val="left" w:pos="720"/>
        </w:tabs>
        <w:ind w:right="51"/>
        <w:jc w:val="both"/>
        <w:rPr>
          <w:rFonts w:cs="Arial"/>
          <w:sz w:val="16"/>
          <w:szCs w:val="16"/>
        </w:rPr>
      </w:pPr>
    </w:p>
    <w:p w14:paraId="4852894C" w14:textId="77777777" w:rsidR="007A3544" w:rsidRDefault="007A3544" w:rsidP="007A3544">
      <w:pPr>
        <w:pBdr>
          <w:left w:val="single" w:sz="4" w:space="1" w:color="auto"/>
        </w:pBdr>
        <w:tabs>
          <w:tab w:val="left" w:pos="720"/>
        </w:tabs>
        <w:ind w:right="51"/>
        <w:jc w:val="both"/>
        <w:rPr>
          <w:rFonts w:cs="Arial"/>
          <w:sz w:val="16"/>
          <w:szCs w:val="16"/>
        </w:rPr>
      </w:pPr>
    </w:p>
    <w:p w14:paraId="7996B6D6" w14:textId="77777777" w:rsidR="007A3544" w:rsidRDefault="007A3544" w:rsidP="007A3544">
      <w:pPr>
        <w:pBdr>
          <w:left w:val="single" w:sz="4" w:space="1" w:color="auto"/>
        </w:pBdr>
        <w:tabs>
          <w:tab w:val="left" w:pos="720"/>
        </w:tabs>
        <w:ind w:right="51"/>
        <w:jc w:val="both"/>
        <w:rPr>
          <w:rFonts w:cs="Arial"/>
          <w:sz w:val="16"/>
          <w:szCs w:val="16"/>
        </w:rPr>
      </w:pPr>
    </w:p>
    <w:p w14:paraId="2F78D7DE" w14:textId="77777777" w:rsidR="007A3544" w:rsidRDefault="007A3544" w:rsidP="007A3544">
      <w:pPr>
        <w:pBdr>
          <w:left w:val="single" w:sz="4" w:space="1" w:color="auto"/>
        </w:pBdr>
        <w:tabs>
          <w:tab w:val="left" w:pos="720"/>
        </w:tabs>
        <w:ind w:right="51"/>
        <w:jc w:val="both"/>
        <w:rPr>
          <w:rFonts w:cs="Arial"/>
          <w:sz w:val="16"/>
          <w:szCs w:val="16"/>
        </w:rPr>
      </w:pPr>
    </w:p>
    <w:p w14:paraId="387A6763" w14:textId="77777777" w:rsidR="007A3544" w:rsidRDefault="007A3544" w:rsidP="007A3544">
      <w:pPr>
        <w:pBdr>
          <w:left w:val="single" w:sz="4" w:space="1" w:color="auto"/>
        </w:pBdr>
        <w:tabs>
          <w:tab w:val="left" w:pos="720"/>
        </w:tabs>
        <w:ind w:right="51"/>
        <w:jc w:val="both"/>
        <w:rPr>
          <w:rFonts w:cs="Arial"/>
          <w:sz w:val="16"/>
          <w:szCs w:val="16"/>
        </w:rPr>
      </w:pPr>
    </w:p>
    <w:p w14:paraId="1BDC2ABB" w14:textId="77777777" w:rsidR="007A3544" w:rsidRDefault="007A3544" w:rsidP="007A3544">
      <w:pPr>
        <w:pBdr>
          <w:left w:val="single" w:sz="4" w:space="1" w:color="auto"/>
        </w:pBdr>
        <w:tabs>
          <w:tab w:val="left" w:pos="720"/>
        </w:tabs>
        <w:ind w:right="51"/>
        <w:jc w:val="both"/>
        <w:rPr>
          <w:rFonts w:cs="Arial"/>
          <w:sz w:val="16"/>
          <w:szCs w:val="16"/>
        </w:rPr>
      </w:pPr>
    </w:p>
    <w:p w14:paraId="47844290" w14:textId="77777777" w:rsidR="007A3544" w:rsidRDefault="007A3544" w:rsidP="007A3544">
      <w:pPr>
        <w:pBdr>
          <w:left w:val="single" w:sz="4" w:space="1" w:color="auto"/>
        </w:pBdr>
        <w:tabs>
          <w:tab w:val="left" w:pos="720"/>
        </w:tabs>
        <w:ind w:right="51"/>
        <w:jc w:val="both"/>
        <w:rPr>
          <w:rFonts w:cs="Arial"/>
          <w:sz w:val="16"/>
          <w:szCs w:val="16"/>
        </w:rPr>
      </w:pPr>
    </w:p>
    <w:p w14:paraId="1D85C5D1" w14:textId="77777777" w:rsidR="007A3544" w:rsidRDefault="007A3544" w:rsidP="007A3544">
      <w:pPr>
        <w:pBdr>
          <w:left w:val="single" w:sz="4" w:space="1" w:color="auto"/>
        </w:pBdr>
        <w:tabs>
          <w:tab w:val="left" w:pos="720"/>
        </w:tabs>
        <w:ind w:right="51"/>
        <w:jc w:val="both"/>
        <w:rPr>
          <w:rFonts w:cs="Arial"/>
          <w:sz w:val="16"/>
          <w:szCs w:val="16"/>
        </w:rPr>
      </w:pPr>
    </w:p>
    <w:p w14:paraId="6E4DDF37" w14:textId="77777777" w:rsidR="007A3544" w:rsidRPr="008270B7" w:rsidRDefault="007A3544" w:rsidP="008270B7">
      <w:pPr>
        <w:tabs>
          <w:tab w:val="left" w:pos="720"/>
        </w:tabs>
        <w:ind w:right="51"/>
        <w:jc w:val="both"/>
        <w:rPr>
          <w:rFonts w:cs="Arial"/>
          <w:sz w:val="16"/>
          <w:szCs w:val="16"/>
        </w:rPr>
      </w:pPr>
    </w:p>
    <w:p w14:paraId="651A7F30" w14:textId="77777777" w:rsidR="001770B4" w:rsidRPr="008270B7" w:rsidRDefault="001770B4" w:rsidP="008270B7">
      <w:pPr>
        <w:pStyle w:val="Textoindependiente"/>
        <w:tabs>
          <w:tab w:val="left" w:pos="720"/>
        </w:tabs>
        <w:rPr>
          <w:rFonts w:cs="Arial"/>
          <w:b w:val="0"/>
          <w:sz w:val="16"/>
          <w:szCs w:val="16"/>
        </w:rPr>
      </w:pPr>
    </w:p>
    <w:p w14:paraId="13984560" w14:textId="3D7131E7" w:rsidR="006161DB" w:rsidRPr="008270B7" w:rsidRDefault="006161DB" w:rsidP="008270B7">
      <w:pPr>
        <w:jc w:val="both"/>
        <w:rPr>
          <w:rFonts w:cs="Arial"/>
          <w:sz w:val="16"/>
          <w:szCs w:val="16"/>
          <w:lang w:val="es-ES_tradnl"/>
        </w:rPr>
        <w:sectPr w:rsidR="006161DB" w:rsidRPr="008270B7" w:rsidSect="006161DB">
          <w:footerReference w:type="first" r:id="rId81"/>
          <w:pgSz w:w="12240" w:h="18720" w:code="257"/>
          <w:pgMar w:top="1287" w:right="1701" w:bottom="1417" w:left="1701" w:header="709" w:footer="865" w:gutter="0"/>
          <w:pgNumType w:start="18"/>
          <w:cols w:space="708"/>
          <w:titlePg/>
          <w:docGrid w:linePitch="360"/>
        </w:sectPr>
      </w:pPr>
    </w:p>
    <w:p w14:paraId="53AA2973" w14:textId="77777777" w:rsidR="001770B4" w:rsidRPr="008270B7" w:rsidRDefault="001770B4" w:rsidP="008270B7">
      <w:pPr>
        <w:jc w:val="both"/>
        <w:rPr>
          <w:rFonts w:cs="Arial"/>
          <w:sz w:val="16"/>
          <w:szCs w:val="16"/>
          <w:lang w:val="es-ES_tradnl"/>
        </w:rPr>
      </w:pPr>
      <w:r w:rsidRPr="008270B7">
        <w:rPr>
          <w:rFonts w:cs="Arial"/>
          <w:sz w:val="16"/>
          <w:szCs w:val="16"/>
          <w:lang w:val="es-ES_tradnl"/>
        </w:rPr>
        <w:lastRenderedPageBreak/>
        <w:t>3.4.4. Pago de comisiones de intermediación</w:t>
      </w:r>
    </w:p>
    <w:p w14:paraId="4204F5BF" w14:textId="77777777" w:rsidR="001770B4" w:rsidRPr="008270B7" w:rsidRDefault="001770B4" w:rsidP="008270B7">
      <w:pPr>
        <w:jc w:val="both"/>
        <w:rPr>
          <w:rFonts w:cs="Arial"/>
          <w:sz w:val="16"/>
          <w:szCs w:val="16"/>
          <w:lang w:val="es-ES_tradnl"/>
        </w:rPr>
      </w:pPr>
    </w:p>
    <w:p w14:paraId="5354797A" w14:textId="77777777" w:rsidR="001770B4" w:rsidRPr="008270B7" w:rsidRDefault="001770B4" w:rsidP="008270B7">
      <w:pPr>
        <w:jc w:val="both"/>
        <w:rPr>
          <w:rFonts w:cs="Arial"/>
          <w:sz w:val="16"/>
          <w:szCs w:val="16"/>
        </w:rPr>
      </w:pPr>
      <w:r w:rsidRPr="008270B7">
        <w:rPr>
          <w:rFonts w:cs="Arial"/>
          <w:sz w:val="16"/>
          <w:szCs w:val="16"/>
          <w:lang w:val="es-ES_tradnl"/>
        </w:rPr>
        <w:t xml:space="preserve">En virtud de lo dispuesto en el inciso 2 del parágrafo 5 del artículo 11 de la Ley 1562 de 2012 </w:t>
      </w:r>
      <w:r w:rsidRPr="008270B7">
        <w:rPr>
          <w:rFonts w:cs="Arial"/>
          <w:sz w:val="16"/>
        </w:rPr>
        <w:t>y demás normas que lo modifiquen, sustituyan o adicionen</w:t>
      </w:r>
      <w:r w:rsidRPr="008270B7">
        <w:rPr>
          <w:rFonts w:cs="Arial"/>
          <w:sz w:val="16"/>
          <w:szCs w:val="16"/>
          <w:lang w:val="es-ES_tradnl"/>
        </w:rPr>
        <w:t>, la remuneración a favor de los intermediarios</w:t>
      </w:r>
      <w:r w:rsidRPr="008270B7">
        <w:rPr>
          <w:sz w:val="16"/>
          <w:szCs w:val="16"/>
        </w:rPr>
        <w:t xml:space="preserve"> de seguros se debe sufragar con cargo a los recursos propios de las </w:t>
      </w:r>
      <w:r w:rsidRPr="008270B7">
        <w:rPr>
          <w:sz w:val="16"/>
          <w:szCs w:val="16"/>
          <w:lang w:val="es-MX"/>
        </w:rPr>
        <w:t>entidades aseguradoras</w:t>
      </w:r>
      <w:r w:rsidRPr="008270B7">
        <w:rPr>
          <w:sz w:val="16"/>
          <w:szCs w:val="16"/>
        </w:rPr>
        <w:t xml:space="preserve">, en consecuencia, la junta directiva de estas entidades o el órgano que haga sus veces, debe adoptar políticas y procedimientos que aseguren el cumplimiento de dicha norma y permitan verificar en todo momento la trazabilidad del origen de los recursos con cargo a los cuales se </w:t>
      </w:r>
      <w:r w:rsidRPr="008270B7">
        <w:rPr>
          <w:rFonts w:cs="Arial"/>
          <w:sz w:val="16"/>
          <w:szCs w:val="16"/>
        </w:rPr>
        <w:t>sufraguen las comisiones de intermediación. Las políticas adoptadas deben garantizar el cumplimiento de la destinación específica de los recursos del SGRL prevista en el artículo 31 de la ley 1562 de 2012.</w:t>
      </w:r>
    </w:p>
    <w:p w14:paraId="6AC51608" w14:textId="77777777" w:rsidR="001770B4" w:rsidRPr="008270B7" w:rsidRDefault="001770B4" w:rsidP="008270B7">
      <w:pPr>
        <w:jc w:val="both"/>
        <w:rPr>
          <w:rFonts w:cs="Arial"/>
          <w:sz w:val="16"/>
          <w:szCs w:val="16"/>
        </w:rPr>
      </w:pPr>
    </w:p>
    <w:p w14:paraId="25EB3382" w14:textId="77777777" w:rsidR="001770B4" w:rsidRPr="008270B7" w:rsidRDefault="001770B4" w:rsidP="008270B7">
      <w:pPr>
        <w:jc w:val="both"/>
        <w:rPr>
          <w:rFonts w:cs="Arial"/>
          <w:sz w:val="16"/>
          <w:szCs w:val="16"/>
        </w:rPr>
      </w:pPr>
      <w:r w:rsidRPr="008270B7">
        <w:rPr>
          <w:rFonts w:cs="Arial"/>
          <w:sz w:val="16"/>
          <w:szCs w:val="16"/>
          <w:lang w:val="es-CO"/>
        </w:rPr>
        <w:t xml:space="preserve">3.4.5. </w:t>
      </w:r>
      <w:r w:rsidRPr="008270B7">
        <w:rPr>
          <w:rFonts w:cs="Arial"/>
          <w:sz w:val="16"/>
          <w:szCs w:val="16"/>
        </w:rPr>
        <w:t>Auditoría médica</w:t>
      </w:r>
    </w:p>
    <w:p w14:paraId="4B23CCC8" w14:textId="77777777" w:rsidR="001770B4" w:rsidRPr="008270B7" w:rsidRDefault="001770B4" w:rsidP="008270B7">
      <w:pPr>
        <w:jc w:val="both"/>
        <w:rPr>
          <w:rFonts w:cs="Arial"/>
          <w:sz w:val="16"/>
          <w:szCs w:val="16"/>
        </w:rPr>
      </w:pPr>
    </w:p>
    <w:p w14:paraId="3773E43B" w14:textId="77777777" w:rsidR="001770B4" w:rsidRPr="008270B7" w:rsidRDefault="001770B4" w:rsidP="008270B7">
      <w:pPr>
        <w:jc w:val="both"/>
        <w:rPr>
          <w:rFonts w:cs="Arial"/>
          <w:sz w:val="16"/>
          <w:szCs w:val="16"/>
          <w:lang w:val="es-ES_tradnl"/>
        </w:rPr>
      </w:pPr>
      <w:r w:rsidRPr="008270B7">
        <w:rPr>
          <w:rFonts w:cs="Arial"/>
          <w:sz w:val="16"/>
          <w:szCs w:val="16"/>
          <w:lang w:val="es-ES_tradnl"/>
        </w:rPr>
        <w:t xml:space="preserve">Para efectos de atender las reclamaciones, la entidad aseguradora debe contar con un sistema de auditoría médica interna o externa, en los mismos términos en que lo dispone el </w:t>
      </w:r>
      <w:proofErr w:type="spellStart"/>
      <w:r w:rsidRPr="008270B7">
        <w:rPr>
          <w:rFonts w:cs="Arial"/>
          <w:sz w:val="16"/>
          <w:szCs w:val="16"/>
          <w:lang w:val="es-ES_tradnl"/>
        </w:rPr>
        <w:t>subnumeral</w:t>
      </w:r>
      <w:proofErr w:type="spellEnd"/>
      <w:r w:rsidRPr="008270B7">
        <w:rPr>
          <w:rFonts w:cs="Arial"/>
          <w:sz w:val="16"/>
          <w:szCs w:val="16"/>
          <w:lang w:val="es-ES_tradnl"/>
        </w:rPr>
        <w:t xml:space="preserve"> 3.5.1 del presente capítulo.</w:t>
      </w:r>
    </w:p>
    <w:p w14:paraId="74078186" w14:textId="237DFD42" w:rsidR="00CF30E6" w:rsidRDefault="00CF30E6">
      <w:pPr>
        <w:rPr>
          <w:rFonts w:cs="Arial"/>
          <w:sz w:val="16"/>
          <w:szCs w:val="16"/>
          <w:lang w:val="es-ES_tradnl"/>
        </w:rPr>
      </w:pPr>
      <w:r>
        <w:rPr>
          <w:rFonts w:cs="Arial"/>
          <w:sz w:val="16"/>
          <w:szCs w:val="16"/>
          <w:lang w:val="es-ES_tradnl"/>
        </w:rPr>
        <w:br w:type="page"/>
      </w:r>
    </w:p>
    <w:p w14:paraId="33699A14" w14:textId="77777777" w:rsidR="001770B4" w:rsidRPr="008270B7" w:rsidRDefault="001770B4" w:rsidP="008270B7">
      <w:pPr>
        <w:jc w:val="both"/>
        <w:rPr>
          <w:rFonts w:cs="Arial"/>
          <w:sz w:val="16"/>
          <w:szCs w:val="16"/>
          <w:lang w:val="es-ES_tradnl"/>
        </w:rPr>
      </w:pPr>
    </w:p>
    <w:p w14:paraId="685E8962" w14:textId="77777777" w:rsidR="001770B4" w:rsidRPr="008270B7" w:rsidRDefault="001770B4" w:rsidP="008270B7">
      <w:pPr>
        <w:pStyle w:val="Sangra3detindependiente"/>
        <w:tabs>
          <w:tab w:val="left" w:pos="720"/>
        </w:tabs>
        <w:ind w:left="0" w:right="51"/>
        <w:rPr>
          <w:rFonts w:cs="Arial"/>
          <w:color w:val="000000" w:themeColor="text1"/>
          <w:sz w:val="16"/>
          <w:szCs w:val="16"/>
        </w:rPr>
      </w:pPr>
      <w:bookmarkStart w:id="18" w:name="_Toc269950170"/>
      <w:r w:rsidRPr="008270B7">
        <w:rPr>
          <w:rFonts w:cs="Arial"/>
          <w:color w:val="000000" w:themeColor="text1"/>
          <w:sz w:val="16"/>
          <w:szCs w:val="16"/>
        </w:rPr>
        <w:t>3.5. Reglas aplicables al seguro de enfermedades de alto costo</w:t>
      </w:r>
      <w:bookmarkEnd w:id="18"/>
    </w:p>
    <w:p w14:paraId="0DC96C0A" w14:textId="77777777" w:rsidR="001770B4" w:rsidRPr="008270B7" w:rsidRDefault="001770B4" w:rsidP="008270B7">
      <w:pPr>
        <w:tabs>
          <w:tab w:val="left" w:pos="720"/>
        </w:tabs>
        <w:ind w:right="51"/>
        <w:jc w:val="both"/>
        <w:rPr>
          <w:rFonts w:cs="Arial"/>
          <w:color w:val="000000" w:themeColor="text1"/>
          <w:sz w:val="16"/>
          <w:szCs w:val="16"/>
        </w:rPr>
      </w:pPr>
    </w:p>
    <w:p w14:paraId="034283A5" w14:textId="77777777" w:rsidR="001770B4" w:rsidRPr="008270B7" w:rsidRDefault="001770B4" w:rsidP="008270B7">
      <w:pPr>
        <w:pStyle w:val="Sangra3detindependiente"/>
        <w:tabs>
          <w:tab w:val="left" w:pos="720"/>
        </w:tabs>
        <w:ind w:left="0" w:right="51"/>
        <w:rPr>
          <w:rFonts w:cs="Arial"/>
          <w:color w:val="000000" w:themeColor="text1"/>
          <w:sz w:val="16"/>
          <w:szCs w:val="16"/>
        </w:rPr>
      </w:pPr>
      <w:r w:rsidRPr="008270B7">
        <w:rPr>
          <w:rFonts w:cs="Arial"/>
          <w:color w:val="000000" w:themeColor="text1"/>
          <w:sz w:val="16"/>
          <w:szCs w:val="16"/>
        </w:rPr>
        <w:t>3.5.1. Auditoría médica</w:t>
      </w:r>
    </w:p>
    <w:p w14:paraId="29C0F369" w14:textId="77777777" w:rsidR="001770B4" w:rsidRPr="008270B7" w:rsidRDefault="001770B4" w:rsidP="008270B7">
      <w:pPr>
        <w:pStyle w:val="Sangra3detindependiente"/>
        <w:tabs>
          <w:tab w:val="left" w:pos="720"/>
        </w:tabs>
        <w:ind w:left="0" w:right="51"/>
        <w:rPr>
          <w:rFonts w:cs="Arial"/>
          <w:color w:val="000000" w:themeColor="text1"/>
          <w:sz w:val="16"/>
          <w:szCs w:val="16"/>
          <w:lang w:val="es-CO"/>
        </w:rPr>
      </w:pPr>
    </w:p>
    <w:p w14:paraId="6A46CBE6" w14:textId="77777777" w:rsidR="001770B4" w:rsidRPr="008270B7" w:rsidRDefault="001770B4" w:rsidP="008270B7">
      <w:pPr>
        <w:pStyle w:val="Sangra3detindependiente"/>
        <w:tabs>
          <w:tab w:val="left" w:pos="720"/>
        </w:tabs>
        <w:ind w:left="0" w:right="51"/>
        <w:rPr>
          <w:rFonts w:cs="Arial"/>
          <w:color w:val="000000" w:themeColor="text1"/>
          <w:sz w:val="16"/>
          <w:szCs w:val="16"/>
        </w:rPr>
      </w:pPr>
      <w:r w:rsidRPr="008270B7">
        <w:rPr>
          <w:rFonts w:cs="Arial"/>
          <w:color w:val="000000" w:themeColor="text1"/>
          <w:sz w:val="16"/>
          <w:szCs w:val="16"/>
          <w:lang w:val="es-ES_tradnl"/>
        </w:rPr>
        <w:t>Para efectos de atender las reclamaciones, la aseguradora debe contar con un sistema de auditoría médica interna o externa, contratada esta última con una sociedad especializada en la materia. En este último evento, la aseguradora debe constatar que la sociedad contratada cuente con una reconocida experiencia en el negocio y una adecuada infraestructura administrativa, técnica, operativa y financiera para el desarrollo de su actividad</w:t>
      </w:r>
      <w:r w:rsidRPr="008270B7">
        <w:rPr>
          <w:rFonts w:cs="Arial"/>
          <w:color w:val="000000" w:themeColor="text1"/>
          <w:sz w:val="16"/>
          <w:szCs w:val="16"/>
        </w:rPr>
        <w:t>.</w:t>
      </w:r>
    </w:p>
    <w:p w14:paraId="390935B5" w14:textId="77777777" w:rsidR="001770B4" w:rsidRPr="008270B7" w:rsidRDefault="001770B4" w:rsidP="008270B7">
      <w:pPr>
        <w:pStyle w:val="Textoindependiente2"/>
        <w:tabs>
          <w:tab w:val="left" w:pos="720"/>
          <w:tab w:val="left" w:pos="9639"/>
        </w:tabs>
        <w:ind w:right="51"/>
        <w:rPr>
          <w:rFonts w:cs="Arial"/>
          <w:b w:val="0"/>
          <w:color w:val="000000" w:themeColor="text1"/>
          <w:sz w:val="16"/>
          <w:szCs w:val="16"/>
        </w:rPr>
      </w:pPr>
    </w:p>
    <w:p w14:paraId="315E43F6" w14:textId="77777777" w:rsidR="001770B4" w:rsidRPr="008270B7" w:rsidRDefault="001770B4" w:rsidP="008270B7">
      <w:pPr>
        <w:pStyle w:val="Textoindependiente2"/>
        <w:tabs>
          <w:tab w:val="left" w:pos="720"/>
          <w:tab w:val="left" w:pos="9639"/>
        </w:tabs>
        <w:ind w:right="51"/>
        <w:rPr>
          <w:rFonts w:cs="Arial"/>
          <w:b w:val="0"/>
          <w:color w:val="000000" w:themeColor="text1"/>
          <w:sz w:val="16"/>
          <w:szCs w:val="16"/>
        </w:rPr>
      </w:pPr>
      <w:r w:rsidRPr="008270B7">
        <w:rPr>
          <w:rFonts w:cs="Arial"/>
          <w:b w:val="0"/>
          <w:color w:val="000000" w:themeColor="text1"/>
          <w:sz w:val="16"/>
          <w:szCs w:val="16"/>
        </w:rPr>
        <w:t>En el caso que se opte por una auditoría médica externa, en el contrato que celebre la aseguradora con la sociedad seleccionada se deben incorporar, en forma clara y precisa, cada una de las actividades que le corresponde ejecutar en los procesos establecidos por la aseguradora y los términos con que cuenta para cumplir su gestión.</w:t>
      </w:r>
    </w:p>
    <w:p w14:paraId="0861FABB" w14:textId="77777777" w:rsidR="001770B4" w:rsidRPr="008270B7" w:rsidRDefault="001770B4" w:rsidP="008270B7">
      <w:pPr>
        <w:tabs>
          <w:tab w:val="left" w:pos="720"/>
        </w:tabs>
        <w:ind w:right="51"/>
        <w:jc w:val="both"/>
        <w:rPr>
          <w:rFonts w:cs="Arial"/>
          <w:color w:val="000000" w:themeColor="text1"/>
          <w:sz w:val="16"/>
          <w:szCs w:val="16"/>
        </w:rPr>
      </w:pPr>
    </w:p>
    <w:p w14:paraId="31DC7A8D" w14:textId="77777777" w:rsidR="001770B4" w:rsidRPr="008270B7" w:rsidRDefault="001770B4" w:rsidP="008270B7">
      <w:pPr>
        <w:pStyle w:val="Textoindependiente210"/>
        <w:tabs>
          <w:tab w:val="clear" w:pos="851"/>
          <w:tab w:val="left" w:pos="720"/>
        </w:tabs>
        <w:ind w:right="51"/>
        <w:rPr>
          <w:rFonts w:cs="Arial"/>
          <w:color w:val="000000" w:themeColor="text1"/>
          <w:sz w:val="16"/>
          <w:szCs w:val="16"/>
          <w:lang w:val="es-ES"/>
        </w:rPr>
      </w:pPr>
      <w:r w:rsidRPr="008270B7">
        <w:rPr>
          <w:rFonts w:cs="Arial"/>
          <w:color w:val="000000" w:themeColor="text1"/>
          <w:sz w:val="16"/>
          <w:szCs w:val="16"/>
          <w:lang w:val="es-ES"/>
        </w:rPr>
        <w:t>3.5.2. Condiciones generales de la póliza</w:t>
      </w:r>
    </w:p>
    <w:p w14:paraId="725649E9" w14:textId="77777777" w:rsidR="001770B4" w:rsidRPr="008270B7" w:rsidRDefault="001770B4" w:rsidP="008270B7">
      <w:pPr>
        <w:pStyle w:val="Textoindependiente210"/>
        <w:tabs>
          <w:tab w:val="clear" w:pos="851"/>
          <w:tab w:val="left" w:pos="720"/>
        </w:tabs>
        <w:ind w:right="51"/>
        <w:rPr>
          <w:rFonts w:cs="Arial"/>
          <w:color w:val="000000" w:themeColor="text1"/>
          <w:sz w:val="16"/>
          <w:szCs w:val="16"/>
          <w:lang w:val="es-ES"/>
        </w:rPr>
      </w:pPr>
    </w:p>
    <w:p w14:paraId="735E75EA"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En consideración al marco normativo aplicable a cada régimen, para el ofrecimiento o comercialización de la cobertura de enfermedades de alto costo, se requiere el diseño individual de pólizas de seguro para el contributivo, el subsidiado, así como para aquellas personas catalogadas como vinculados.</w:t>
      </w:r>
    </w:p>
    <w:p w14:paraId="09DE7F08" w14:textId="77777777" w:rsidR="001770B4" w:rsidRPr="008270B7" w:rsidRDefault="001770B4" w:rsidP="008270B7">
      <w:pPr>
        <w:tabs>
          <w:tab w:val="left" w:pos="720"/>
        </w:tabs>
        <w:ind w:right="51"/>
        <w:jc w:val="both"/>
        <w:rPr>
          <w:rFonts w:cs="Arial"/>
          <w:color w:val="000000" w:themeColor="text1"/>
          <w:sz w:val="16"/>
          <w:szCs w:val="16"/>
        </w:rPr>
      </w:pPr>
    </w:p>
    <w:p w14:paraId="37BC1479"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Las condiciones generales de la póliza deben incorporar las siguientes estipulaciones:</w:t>
      </w:r>
    </w:p>
    <w:p w14:paraId="456A3322" w14:textId="77777777" w:rsidR="001770B4" w:rsidRPr="008270B7" w:rsidRDefault="001770B4" w:rsidP="008270B7">
      <w:pPr>
        <w:tabs>
          <w:tab w:val="left" w:pos="720"/>
        </w:tabs>
        <w:ind w:right="51"/>
        <w:jc w:val="both"/>
        <w:rPr>
          <w:rFonts w:cs="Arial"/>
          <w:color w:val="000000" w:themeColor="text1"/>
          <w:sz w:val="16"/>
          <w:szCs w:val="16"/>
        </w:rPr>
      </w:pPr>
    </w:p>
    <w:p w14:paraId="16387CA4"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3.5.2.1. Las tarifas que se aplican para efectos del pago de las indemnizaciones o la manera de determinarlas.</w:t>
      </w:r>
    </w:p>
    <w:p w14:paraId="10125887" w14:textId="77777777" w:rsidR="001770B4" w:rsidRPr="008270B7" w:rsidRDefault="001770B4" w:rsidP="008270B7">
      <w:pPr>
        <w:tabs>
          <w:tab w:val="left" w:pos="720"/>
        </w:tabs>
        <w:ind w:right="51"/>
        <w:jc w:val="both"/>
        <w:rPr>
          <w:rFonts w:cs="Arial"/>
          <w:color w:val="000000" w:themeColor="text1"/>
          <w:sz w:val="16"/>
          <w:szCs w:val="16"/>
        </w:rPr>
      </w:pPr>
    </w:p>
    <w:p w14:paraId="2ADAE852"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 xml:space="preserve">3.5.2.2. </w:t>
      </w:r>
      <w:proofErr w:type="gramStart"/>
      <w:r w:rsidRPr="008270B7">
        <w:rPr>
          <w:rFonts w:cs="Arial"/>
          <w:color w:val="000000" w:themeColor="text1"/>
          <w:sz w:val="16"/>
          <w:szCs w:val="16"/>
        </w:rPr>
        <w:t>En caso que</w:t>
      </w:r>
      <w:proofErr w:type="gramEnd"/>
      <w:r w:rsidRPr="008270B7">
        <w:rPr>
          <w:rFonts w:cs="Arial"/>
          <w:color w:val="000000" w:themeColor="text1"/>
          <w:sz w:val="16"/>
          <w:szCs w:val="16"/>
        </w:rPr>
        <w:t xml:space="preserve"> se pacte una participación de utilidades, se debe incluir la fórmula para establecer su monto, la cual debe corresponder a la expresada en la nota técnica.</w:t>
      </w:r>
    </w:p>
    <w:p w14:paraId="2B0F4AE3" w14:textId="77777777" w:rsidR="001770B4" w:rsidRPr="008270B7" w:rsidRDefault="001770B4" w:rsidP="008270B7">
      <w:pPr>
        <w:tabs>
          <w:tab w:val="left" w:pos="720"/>
        </w:tabs>
        <w:ind w:right="51"/>
        <w:jc w:val="both"/>
        <w:rPr>
          <w:rFonts w:cs="Arial"/>
          <w:color w:val="000000" w:themeColor="text1"/>
          <w:sz w:val="16"/>
          <w:szCs w:val="16"/>
        </w:rPr>
      </w:pPr>
    </w:p>
    <w:p w14:paraId="04B8A9AE"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3.5.2.3. En el evento en que se reconozca una bonificación por buena experiencia, se deben indicar los términos en que ésta se otorga, los cuales deben corresponder a lo expresado en la nota técnica.</w:t>
      </w:r>
    </w:p>
    <w:p w14:paraId="3B522911" w14:textId="77777777" w:rsidR="001770B4" w:rsidRPr="008270B7" w:rsidRDefault="001770B4" w:rsidP="008270B7">
      <w:pPr>
        <w:tabs>
          <w:tab w:val="left" w:pos="720"/>
        </w:tabs>
        <w:ind w:right="51"/>
        <w:jc w:val="both"/>
        <w:rPr>
          <w:rFonts w:cs="Arial"/>
          <w:color w:val="000000" w:themeColor="text1"/>
          <w:sz w:val="16"/>
          <w:szCs w:val="16"/>
        </w:rPr>
      </w:pPr>
    </w:p>
    <w:p w14:paraId="59FE3522"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 xml:space="preserve">3.5.2.4. El procedimiento y términos dentro de los cuales el tomador (EPS) debe notificar a la aseguradora el ingreso y egreso de afiliados a la póliza. </w:t>
      </w:r>
    </w:p>
    <w:p w14:paraId="08494FE4" w14:textId="77777777" w:rsidR="001770B4" w:rsidRPr="008270B7" w:rsidRDefault="001770B4" w:rsidP="008270B7">
      <w:pPr>
        <w:tabs>
          <w:tab w:val="left" w:pos="720"/>
        </w:tabs>
        <w:ind w:right="51"/>
        <w:jc w:val="both"/>
        <w:rPr>
          <w:rFonts w:cs="Arial"/>
          <w:color w:val="000000" w:themeColor="text1"/>
          <w:sz w:val="16"/>
          <w:szCs w:val="16"/>
        </w:rPr>
      </w:pPr>
    </w:p>
    <w:p w14:paraId="7F8A9EF0"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3.5.3. Nota técnica</w:t>
      </w:r>
    </w:p>
    <w:p w14:paraId="04005779" w14:textId="77777777" w:rsidR="001770B4" w:rsidRPr="008270B7" w:rsidRDefault="001770B4" w:rsidP="008270B7">
      <w:pPr>
        <w:tabs>
          <w:tab w:val="left" w:pos="720"/>
        </w:tabs>
        <w:ind w:right="51"/>
        <w:jc w:val="both"/>
        <w:rPr>
          <w:rFonts w:cs="Arial"/>
          <w:color w:val="000000" w:themeColor="text1"/>
          <w:sz w:val="16"/>
          <w:szCs w:val="16"/>
        </w:rPr>
      </w:pPr>
    </w:p>
    <w:p w14:paraId="1C288138"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La nota técnica, además de sustentar la tasa pura de riesgo, debe expresar de manera específica, los porcentajes por concepto de gastos de administración, comisión de intermediación y utilidad esperada por la entidad aseguradora.  Así mismo, en la nota técnica se deben incorporar los porcentajes por reconocimiento de bonificaciones y participación de utilidades.</w:t>
      </w:r>
    </w:p>
    <w:p w14:paraId="58F20707"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 xml:space="preserve"> </w:t>
      </w:r>
    </w:p>
    <w:p w14:paraId="58046E89"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Las modificaciones que con posterioridad a la aprobación del ramo se introduzcan a la nota técnica, se deben remitir a esta Superintendencia en forma previa a su utilización.</w:t>
      </w:r>
    </w:p>
    <w:p w14:paraId="3D115330" w14:textId="77777777" w:rsidR="001770B4" w:rsidRPr="008270B7" w:rsidRDefault="001770B4" w:rsidP="008270B7">
      <w:pPr>
        <w:tabs>
          <w:tab w:val="left" w:pos="720"/>
        </w:tabs>
        <w:ind w:right="51"/>
        <w:jc w:val="both"/>
        <w:rPr>
          <w:rFonts w:cs="Arial"/>
          <w:color w:val="000000" w:themeColor="text1"/>
          <w:sz w:val="16"/>
          <w:szCs w:val="16"/>
        </w:rPr>
      </w:pPr>
    </w:p>
    <w:p w14:paraId="5CB134F9"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t>3.5.4. Generación y reporte de información al sistema general de seguridad social en salud</w:t>
      </w:r>
    </w:p>
    <w:p w14:paraId="154A1AD0" w14:textId="77777777" w:rsidR="001770B4" w:rsidRPr="008270B7" w:rsidRDefault="001770B4" w:rsidP="008270B7">
      <w:pPr>
        <w:tabs>
          <w:tab w:val="left" w:pos="720"/>
        </w:tabs>
        <w:ind w:right="51"/>
        <w:jc w:val="both"/>
        <w:rPr>
          <w:rFonts w:cs="Arial"/>
          <w:color w:val="000000" w:themeColor="text1"/>
          <w:sz w:val="16"/>
          <w:szCs w:val="16"/>
        </w:rPr>
        <w:sectPr w:rsidR="001770B4" w:rsidRPr="008270B7" w:rsidSect="00390C95">
          <w:footerReference w:type="first" r:id="rId82"/>
          <w:pgSz w:w="12240" w:h="18720" w:code="257"/>
          <w:pgMar w:top="1417" w:right="1701" w:bottom="1417" w:left="1701" w:header="709" w:footer="865" w:gutter="0"/>
          <w:pgNumType w:start="18"/>
          <w:cols w:space="708"/>
          <w:titlePg/>
          <w:docGrid w:linePitch="360"/>
        </w:sectPr>
      </w:pPr>
    </w:p>
    <w:p w14:paraId="56F355AF" w14:textId="77777777" w:rsidR="001770B4" w:rsidRPr="008270B7" w:rsidRDefault="001770B4" w:rsidP="008270B7">
      <w:pPr>
        <w:tabs>
          <w:tab w:val="left" w:pos="720"/>
        </w:tabs>
        <w:ind w:right="51"/>
        <w:jc w:val="both"/>
        <w:rPr>
          <w:rFonts w:cs="Arial"/>
          <w:color w:val="000000" w:themeColor="text1"/>
          <w:sz w:val="16"/>
          <w:szCs w:val="16"/>
        </w:rPr>
      </w:pPr>
      <w:r w:rsidRPr="008270B7">
        <w:rPr>
          <w:rFonts w:cs="Arial"/>
          <w:color w:val="000000" w:themeColor="text1"/>
          <w:sz w:val="16"/>
          <w:szCs w:val="16"/>
        </w:rPr>
        <w:lastRenderedPageBreak/>
        <w:t xml:space="preserve">Las entidades aseguradoras que otorguen la cobertura de los riesgos derivados de la atención de enfermedades de alto </w:t>
      </w:r>
      <w:proofErr w:type="gramStart"/>
      <w:r w:rsidRPr="008270B7">
        <w:rPr>
          <w:rFonts w:cs="Arial"/>
          <w:color w:val="000000" w:themeColor="text1"/>
          <w:sz w:val="16"/>
          <w:szCs w:val="16"/>
        </w:rPr>
        <w:t>costo,</w:t>
      </w:r>
      <w:proofErr w:type="gramEnd"/>
      <w:r w:rsidRPr="008270B7">
        <w:rPr>
          <w:rFonts w:cs="Arial"/>
          <w:color w:val="000000" w:themeColor="text1"/>
          <w:sz w:val="16"/>
          <w:szCs w:val="16"/>
        </w:rPr>
        <w:t xml:space="preserve"> deben estar en capacidad de generar y reportar, en forma oportuna, la información que requieran los organismos de dirección, vigilancia y control del sistema general de seguridad social en salud.  </w:t>
      </w:r>
    </w:p>
    <w:p w14:paraId="502AF649" w14:textId="77777777" w:rsidR="001770B4" w:rsidRPr="008270B7" w:rsidRDefault="001770B4" w:rsidP="008270B7">
      <w:pPr>
        <w:keepLines/>
        <w:tabs>
          <w:tab w:val="left" w:pos="720"/>
        </w:tabs>
        <w:ind w:right="51"/>
        <w:jc w:val="both"/>
        <w:rPr>
          <w:rFonts w:cs="Arial"/>
          <w:color w:val="000000" w:themeColor="text1"/>
          <w:sz w:val="16"/>
          <w:szCs w:val="16"/>
        </w:rPr>
      </w:pPr>
    </w:p>
    <w:p w14:paraId="1B3734F3" w14:textId="77777777" w:rsidR="001770B4" w:rsidRPr="008270B7" w:rsidRDefault="001770B4" w:rsidP="008270B7">
      <w:pPr>
        <w:pStyle w:val="Ttulo2"/>
        <w:jc w:val="both"/>
        <w:rPr>
          <w:b w:val="0"/>
          <w:bCs w:val="0"/>
          <w:color w:val="000000" w:themeColor="text1"/>
          <w:szCs w:val="16"/>
        </w:rPr>
      </w:pPr>
      <w:bookmarkStart w:id="19" w:name="_Toc269950171"/>
      <w:r w:rsidRPr="008270B7">
        <w:rPr>
          <w:b w:val="0"/>
          <w:bCs w:val="0"/>
          <w:color w:val="000000" w:themeColor="text1"/>
          <w:szCs w:val="16"/>
        </w:rPr>
        <w:t>3.6. Reglas aplicables a los seguros de vida</w:t>
      </w:r>
      <w:bookmarkEnd w:id="19"/>
    </w:p>
    <w:p w14:paraId="2FF70D5E" w14:textId="77777777" w:rsidR="001770B4" w:rsidRPr="008270B7" w:rsidRDefault="001770B4" w:rsidP="008270B7">
      <w:pPr>
        <w:pStyle w:val="Textoindependiente210"/>
        <w:tabs>
          <w:tab w:val="left" w:pos="720"/>
        </w:tabs>
        <w:ind w:right="51"/>
        <w:rPr>
          <w:rFonts w:cs="Arial"/>
          <w:color w:val="000000" w:themeColor="text1"/>
          <w:sz w:val="16"/>
          <w:szCs w:val="16"/>
        </w:rPr>
      </w:pPr>
    </w:p>
    <w:p w14:paraId="685B1B66" w14:textId="686578E6" w:rsidR="00765E96" w:rsidRDefault="00765E96">
      <w:pPr>
        <w:rPr>
          <w:rFonts w:cs="Arial"/>
          <w:sz w:val="16"/>
          <w:szCs w:val="16"/>
        </w:rPr>
      </w:pPr>
      <w:r>
        <w:rPr>
          <w:rFonts w:cs="Arial"/>
          <w:sz w:val="16"/>
          <w:szCs w:val="16"/>
        </w:rPr>
        <w:br w:type="page"/>
      </w:r>
    </w:p>
    <w:p w14:paraId="17DBEB6B" w14:textId="77777777" w:rsidR="005C2CB9" w:rsidRPr="008270B7" w:rsidRDefault="005C2CB9" w:rsidP="008270B7">
      <w:pPr>
        <w:numPr>
          <w:ilvl w:val="12"/>
          <w:numId w:val="0"/>
        </w:numPr>
        <w:tabs>
          <w:tab w:val="left" w:pos="720"/>
        </w:tabs>
        <w:jc w:val="both"/>
        <w:rPr>
          <w:rFonts w:cs="Arial"/>
          <w:sz w:val="16"/>
          <w:szCs w:val="16"/>
        </w:rPr>
      </w:pPr>
    </w:p>
    <w:p w14:paraId="0A3707A0" w14:textId="77777777" w:rsidR="005C2CB9" w:rsidRPr="008270B7" w:rsidRDefault="005C2CB9" w:rsidP="008270B7">
      <w:pPr>
        <w:pStyle w:val="Textoindependiente21"/>
        <w:numPr>
          <w:ilvl w:val="12"/>
          <w:numId w:val="0"/>
        </w:numPr>
        <w:tabs>
          <w:tab w:val="clear" w:pos="851"/>
          <w:tab w:val="left" w:pos="720"/>
        </w:tabs>
        <w:rPr>
          <w:rFonts w:cs="Arial"/>
          <w:sz w:val="16"/>
          <w:szCs w:val="16"/>
        </w:rPr>
      </w:pPr>
      <w:r w:rsidRPr="008270B7">
        <w:rPr>
          <w:rFonts w:cs="Arial"/>
          <w:sz w:val="16"/>
          <w:szCs w:val="16"/>
        </w:rPr>
        <w:t xml:space="preserve">3.6.3. Seguro de vida grupo </w:t>
      </w:r>
    </w:p>
    <w:p w14:paraId="7C2C4A5B" w14:textId="77777777" w:rsidR="005C2CB9" w:rsidRPr="008270B7" w:rsidRDefault="005C2CB9" w:rsidP="008270B7">
      <w:pPr>
        <w:numPr>
          <w:ilvl w:val="12"/>
          <w:numId w:val="0"/>
        </w:numPr>
        <w:tabs>
          <w:tab w:val="left" w:pos="720"/>
        </w:tabs>
        <w:jc w:val="both"/>
        <w:rPr>
          <w:rFonts w:cs="Arial"/>
          <w:sz w:val="16"/>
          <w:szCs w:val="16"/>
        </w:rPr>
      </w:pPr>
    </w:p>
    <w:p w14:paraId="4A2D7EF7" w14:textId="77777777" w:rsidR="005C2CB9" w:rsidRPr="008270B7" w:rsidRDefault="005C2CB9" w:rsidP="008270B7">
      <w:pPr>
        <w:tabs>
          <w:tab w:val="left" w:pos="720"/>
        </w:tabs>
        <w:jc w:val="both"/>
        <w:rPr>
          <w:rFonts w:cs="Arial"/>
          <w:sz w:val="16"/>
          <w:szCs w:val="16"/>
        </w:rPr>
      </w:pPr>
      <w:r w:rsidRPr="008270B7">
        <w:rPr>
          <w:rFonts w:cs="Arial"/>
          <w:sz w:val="16"/>
          <w:szCs w:val="16"/>
        </w:rPr>
        <w:t>3.6.3.1. Clases. Las pólizas de seguros de vida grupo se clasifican en:</w:t>
      </w:r>
    </w:p>
    <w:p w14:paraId="4E6CB7F3" w14:textId="77777777" w:rsidR="005C2CB9" w:rsidRPr="008270B7" w:rsidRDefault="005C2CB9" w:rsidP="008270B7">
      <w:pPr>
        <w:pStyle w:val="Textoindependiente21"/>
        <w:tabs>
          <w:tab w:val="clear" w:pos="851"/>
          <w:tab w:val="left" w:pos="720"/>
        </w:tabs>
        <w:rPr>
          <w:rFonts w:cs="Arial"/>
          <w:sz w:val="16"/>
          <w:szCs w:val="16"/>
          <w:lang w:val="es-ES"/>
        </w:rPr>
      </w:pPr>
    </w:p>
    <w:p w14:paraId="3BD9C689" w14:textId="77777777" w:rsidR="005C2CB9" w:rsidRPr="008270B7" w:rsidRDefault="005C2CB9" w:rsidP="008270B7">
      <w:pPr>
        <w:pStyle w:val="Textoindependiente21"/>
        <w:tabs>
          <w:tab w:val="clear" w:pos="851"/>
          <w:tab w:val="left" w:pos="720"/>
        </w:tabs>
        <w:rPr>
          <w:rFonts w:cs="Arial"/>
          <w:sz w:val="16"/>
          <w:szCs w:val="16"/>
          <w:lang w:val="es-ES"/>
        </w:rPr>
      </w:pPr>
      <w:r w:rsidRPr="008270B7">
        <w:rPr>
          <w:rFonts w:cs="Arial"/>
          <w:sz w:val="16"/>
          <w:szCs w:val="16"/>
          <w:lang w:val="es-ES"/>
        </w:rPr>
        <w:t xml:space="preserve">3.6.3.1.1. </w:t>
      </w:r>
      <w:r w:rsidRPr="008270B7">
        <w:rPr>
          <w:rFonts w:cs="Arial"/>
          <w:sz w:val="16"/>
          <w:szCs w:val="16"/>
          <w:lang w:val="es-ES"/>
        </w:rPr>
        <w:tab/>
        <w:t>Deudores: Cuyo objeto es la protección contra los riesgos de muerte e incapacidad total y permanente a los deudores de un mismo acreedor, adquiriendo éste, en todos los casos, la calidad de tomador.</w:t>
      </w:r>
    </w:p>
    <w:p w14:paraId="2CA246C5" w14:textId="77777777" w:rsidR="005C2CB9" w:rsidRPr="008270B7" w:rsidRDefault="005C2CB9" w:rsidP="008270B7">
      <w:pPr>
        <w:numPr>
          <w:ilvl w:val="12"/>
          <w:numId w:val="0"/>
        </w:numPr>
        <w:tabs>
          <w:tab w:val="left" w:pos="720"/>
        </w:tabs>
        <w:jc w:val="both"/>
        <w:rPr>
          <w:rFonts w:cs="Arial"/>
          <w:sz w:val="16"/>
          <w:szCs w:val="16"/>
        </w:rPr>
      </w:pPr>
    </w:p>
    <w:p w14:paraId="6881B49A" w14:textId="77777777" w:rsidR="005C2CB9" w:rsidRPr="008270B7" w:rsidRDefault="005C2CB9" w:rsidP="008270B7">
      <w:pPr>
        <w:pStyle w:val="Textoindependiente21"/>
        <w:tabs>
          <w:tab w:val="clear" w:pos="851"/>
          <w:tab w:val="left" w:pos="720"/>
        </w:tabs>
        <w:rPr>
          <w:rFonts w:cs="Arial"/>
          <w:sz w:val="16"/>
          <w:szCs w:val="16"/>
          <w:lang w:val="es-ES"/>
        </w:rPr>
      </w:pPr>
      <w:r w:rsidRPr="008270B7">
        <w:rPr>
          <w:rFonts w:cs="Arial"/>
          <w:sz w:val="16"/>
          <w:szCs w:val="16"/>
          <w:lang w:val="es-ES"/>
        </w:rPr>
        <w:t>3.6.3.1.2. Contributivas: Cuando la totalidad o parte de la prima es sufragada por los integrantes del grupo asegurado.</w:t>
      </w:r>
    </w:p>
    <w:p w14:paraId="52FA6B42" w14:textId="77777777" w:rsidR="005C2CB9" w:rsidRPr="008270B7" w:rsidRDefault="005C2CB9" w:rsidP="008270B7">
      <w:pPr>
        <w:pStyle w:val="Textoindependiente21"/>
        <w:tabs>
          <w:tab w:val="clear" w:pos="851"/>
          <w:tab w:val="left" w:pos="720"/>
        </w:tabs>
        <w:rPr>
          <w:rFonts w:cs="Arial"/>
          <w:sz w:val="16"/>
          <w:szCs w:val="16"/>
          <w:lang w:val="es-ES"/>
        </w:rPr>
      </w:pPr>
    </w:p>
    <w:p w14:paraId="6BF1B1B8" w14:textId="77777777" w:rsidR="005C2CB9" w:rsidRPr="008270B7" w:rsidRDefault="005C2CB9" w:rsidP="008270B7">
      <w:pPr>
        <w:pStyle w:val="Textoindependiente21"/>
        <w:tabs>
          <w:tab w:val="clear" w:pos="851"/>
          <w:tab w:val="left" w:pos="720"/>
        </w:tabs>
        <w:rPr>
          <w:rFonts w:cs="Arial"/>
          <w:sz w:val="16"/>
          <w:szCs w:val="16"/>
          <w:lang w:val="es-ES"/>
        </w:rPr>
      </w:pPr>
      <w:r w:rsidRPr="008270B7">
        <w:rPr>
          <w:rFonts w:cs="Arial"/>
          <w:sz w:val="16"/>
          <w:szCs w:val="16"/>
          <w:lang w:val="es-ES"/>
        </w:rPr>
        <w:t>3.6.3.1.3. No Contributivas: Cuando la integridad de las primas es sufragada por el tomador del seguro.</w:t>
      </w:r>
    </w:p>
    <w:p w14:paraId="323BCB84" w14:textId="77777777" w:rsidR="005C2CB9" w:rsidRPr="008270B7" w:rsidRDefault="005C2CB9" w:rsidP="008270B7">
      <w:pPr>
        <w:pStyle w:val="Textoindependiente21"/>
        <w:tabs>
          <w:tab w:val="clear" w:pos="851"/>
          <w:tab w:val="left" w:pos="720"/>
        </w:tabs>
        <w:rPr>
          <w:rFonts w:cs="Arial"/>
          <w:sz w:val="16"/>
          <w:szCs w:val="16"/>
          <w:lang w:val="es-ES"/>
        </w:rPr>
      </w:pPr>
    </w:p>
    <w:p w14:paraId="3AFB618B" w14:textId="77777777" w:rsidR="005C2CB9" w:rsidRPr="008270B7" w:rsidRDefault="005C2CB9" w:rsidP="008270B7">
      <w:pPr>
        <w:pStyle w:val="Textoindependiente21"/>
        <w:tabs>
          <w:tab w:val="clear" w:pos="851"/>
          <w:tab w:val="left" w:pos="720"/>
        </w:tabs>
        <w:rPr>
          <w:rFonts w:cs="Arial"/>
          <w:sz w:val="16"/>
          <w:szCs w:val="16"/>
        </w:rPr>
      </w:pPr>
      <w:r w:rsidRPr="008270B7">
        <w:rPr>
          <w:rFonts w:cs="Arial"/>
          <w:sz w:val="16"/>
          <w:szCs w:val="16"/>
        </w:rPr>
        <w:t>3.6.3.2. Grupo Asegurable. Es el conformado por personas naturales, vinculadas bajo una misma personería jurídica, en virtud de una situación legal o reglamentaria, o que tienen con una tercera persona (tomador) relaciones estables de la misma naturaleza, cuyo vínculo no tiene relación con el propósito de contratar el seguro de vida. En todo caso, el tomador es responsable por el pago de las primas.</w:t>
      </w:r>
    </w:p>
    <w:p w14:paraId="58D9DC20" w14:textId="77777777" w:rsidR="005C2CB9" w:rsidRPr="008270B7" w:rsidRDefault="005C2CB9" w:rsidP="008270B7">
      <w:pPr>
        <w:tabs>
          <w:tab w:val="left" w:pos="720"/>
        </w:tabs>
        <w:jc w:val="both"/>
        <w:rPr>
          <w:rFonts w:cs="Arial"/>
          <w:sz w:val="16"/>
          <w:szCs w:val="16"/>
        </w:rPr>
      </w:pPr>
    </w:p>
    <w:p w14:paraId="38DE8E2B" w14:textId="77777777" w:rsidR="005C2CB9" w:rsidRPr="008270B7" w:rsidRDefault="005C2CB9" w:rsidP="008270B7">
      <w:pPr>
        <w:tabs>
          <w:tab w:val="left" w:pos="720"/>
        </w:tabs>
        <w:jc w:val="both"/>
        <w:rPr>
          <w:rFonts w:cs="Arial"/>
          <w:sz w:val="16"/>
          <w:szCs w:val="16"/>
        </w:rPr>
      </w:pPr>
      <w:r w:rsidRPr="008270B7">
        <w:rPr>
          <w:rFonts w:cs="Arial"/>
          <w:sz w:val="16"/>
          <w:szCs w:val="16"/>
        </w:rPr>
        <w:t>3.6.3.3. Selección. De manera previa a la integración del grupo se deben determinar las reglas tendientes a evitar la selección adversa al asegurador. Para tal efecto, éste puede exigir, según las características de cada grupo o de sus integrantes, las pruebas de asegurabilidad necesarias para su correcta selección.</w:t>
      </w:r>
    </w:p>
    <w:p w14:paraId="4D00D998" w14:textId="77777777" w:rsidR="005C2CB9" w:rsidRPr="008270B7" w:rsidRDefault="005C2CB9" w:rsidP="008270B7">
      <w:pPr>
        <w:tabs>
          <w:tab w:val="left" w:pos="720"/>
        </w:tabs>
        <w:jc w:val="both"/>
        <w:rPr>
          <w:rFonts w:cs="Arial"/>
          <w:sz w:val="16"/>
          <w:szCs w:val="16"/>
        </w:rPr>
      </w:pPr>
    </w:p>
    <w:p w14:paraId="34A86B1F" w14:textId="77777777" w:rsidR="005C2CB9" w:rsidRPr="008270B7" w:rsidRDefault="005C2CB9" w:rsidP="008270B7">
      <w:pPr>
        <w:tabs>
          <w:tab w:val="left" w:pos="720"/>
        </w:tabs>
        <w:jc w:val="both"/>
        <w:rPr>
          <w:rFonts w:cs="Arial"/>
          <w:sz w:val="16"/>
          <w:szCs w:val="16"/>
        </w:rPr>
      </w:pPr>
      <w:r w:rsidRPr="008270B7">
        <w:rPr>
          <w:rFonts w:cs="Arial"/>
          <w:sz w:val="16"/>
          <w:szCs w:val="16"/>
        </w:rPr>
        <w:t>3.6.3.4. Solicitudes. Para contratar un seguro de vida grupo se debe presentar a la entidad aseguradora una solicitud firmada por el tomador, acompañada de las solicitudes individuales de ingreso de los asegurados iniciales. Dichos documentos deben contener, como mínimo, la siguiente información:</w:t>
      </w:r>
    </w:p>
    <w:p w14:paraId="3C224201" w14:textId="77777777" w:rsidR="005C2CB9" w:rsidRPr="008270B7" w:rsidRDefault="005C2CB9" w:rsidP="008270B7">
      <w:pPr>
        <w:tabs>
          <w:tab w:val="left" w:pos="720"/>
        </w:tabs>
        <w:jc w:val="both"/>
        <w:rPr>
          <w:rFonts w:cs="Arial"/>
          <w:sz w:val="16"/>
          <w:szCs w:val="16"/>
        </w:rPr>
      </w:pPr>
    </w:p>
    <w:p w14:paraId="094AED9E" w14:textId="77777777" w:rsidR="005C2CB9" w:rsidRPr="008270B7" w:rsidRDefault="005C2CB9" w:rsidP="008270B7">
      <w:pPr>
        <w:pStyle w:val="Textoindependiente21"/>
        <w:tabs>
          <w:tab w:val="clear" w:pos="851"/>
          <w:tab w:val="left" w:pos="720"/>
        </w:tabs>
        <w:rPr>
          <w:rFonts w:cs="Arial"/>
          <w:sz w:val="16"/>
          <w:szCs w:val="16"/>
        </w:rPr>
      </w:pPr>
      <w:r w:rsidRPr="008270B7">
        <w:rPr>
          <w:rFonts w:cs="Arial"/>
          <w:sz w:val="16"/>
          <w:szCs w:val="16"/>
        </w:rPr>
        <w:t>3.6.3.4.1. Nombre del tomador.</w:t>
      </w:r>
    </w:p>
    <w:p w14:paraId="1A8A844B" w14:textId="77777777" w:rsidR="005C2CB9" w:rsidRPr="008270B7" w:rsidRDefault="005C2CB9" w:rsidP="008270B7">
      <w:pPr>
        <w:pStyle w:val="Textoindependiente21"/>
        <w:tabs>
          <w:tab w:val="clear" w:pos="851"/>
          <w:tab w:val="left" w:pos="720"/>
        </w:tabs>
        <w:rPr>
          <w:rFonts w:cs="Arial"/>
          <w:sz w:val="16"/>
          <w:szCs w:val="16"/>
          <w:lang w:val="es-ES"/>
        </w:rPr>
      </w:pPr>
      <w:r w:rsidRPr="008270B7">
        <w:rPr>
          <w:rFonts w:cs="Arial"/>
          <w:sz w:val="16"/>
          <w:szCs w:val="16"/>
          <w:lang w:val="es-ES"/>
        </w:rPr>
        <w:t>3.6.3.4.2. Nombre, documento de identificación, ocupación, fecha de nacimiento y sexo del asegurado.</w:t>
      </w:r>
    </w:p>
    <w:p w14:paraId="4F01E612" w14:textId="77777777" w:rsidR="005C2CB9" w:rsidRPr="008270B7" w:rsidRDefault="005C2CB9" w:rsidP="008270B7">
      <w:pPr>
        <w:tabs>
          <w:tab w:val="left" w:pos="720"/>
        </w:tabs>
        <w:jc w:val="both"/>
        <w:rPr>
          <w:rFonts w:cs="Arial"/>
          <w:sz w:val="16"/>
          <w:szCs w:val="16"/>
        </w:rPr>
      </w:pPr>
      <w:r w:rsidRPr="008270B7">
        <w:rPr>
          <w:rFonts w:cs="Arial"/>
          <w:sz w:val="16"/>
          <w:szCs w:val="16"/>
        </w:rPr>
        <w:t>3.6.3.4.3. Valor del seguro solicitado.</w:t>
      </w:r>
    </w:p>
    <w:p w14:paraId="16E41C8E" w14:textId="77777777" w:rsidR="005C2CB9" w:rsidRPr="008270B7" w:rsidRDefault="005C2CB9" w:rsidP="008270B7">
      <w:pPr>
        <w:tabs>
          <w:tab w:val="left" w:pos="720"/>
        </w:tabs>
        <w:jc w:val="both"/>
        <w:rPr>
          <w:rFonts w:cs="Arial"/>
          <w:sz w:val="16"/>
          <w:szCs w:val="16"/>
        </w:rPr>
      </w:pPr>
      <w:r w:rsidRPr="008270B7">
        <w:rPr>
          <w:rFonts w:cs="Arial"/>
          <w:sz w:val="16"/>
          <w:szCs w:val="16"/>
        </w:rPr>
        <w:t>3.6.3.4.4. Nombre de los beneficiarios del seguro, parentesco y calidad de su designación.</w:t>
      </w:r>
    </w:p>
    <w:p w14:paraId="48282929" w14:textId="77777777" w:rsidR="005C2CB9" w:rsidRPr="008270B7" w:rsidRDefault="005C2CB9" w:rsidP="008270B7">
      <w:pPr>
        <w:tabs>
          <w:tab w:val="left" w:pos="720"/>
        </w:tabs>
        <w:jc w:val="both"/>
        <w:rPr>
          <w:rFonts w:cs="Arial"/>
          <w:sz w:val="16"/>
          <w:szCs w:val="16"/>
        </w:rPr>
      </w:pPr>
    </w:p>
    <w:p w14:paraId="47BFDEDD" w14:textId="77777777" w:rsidR="005C2CB9" w:rsidRPr="008270B7" w:rsidRDefault="005C2CB9" w:rsidP="008270B7">
      <w:pPr>
        <w:tabs>
          <w:tab w:val="left" w:pos="720"/>
        </w:tabs>
        <w:jc w:val="both"/>
        <w:rPr>
          <w:rFonts w:cs="Arial"/>
          <w:sz w:val="16"/>
          <w:szCs w:val="16"/>
        </w:rPr>
      </w:pPr>
      <w:r w:rsidRPr="008270B7">
        <w:rPr>
          <w:rFonts w:cs="Arial"/>
          <w:sz w:val="16"/>
          <w:szCs w:val="16"/>
        </w:rPr>
        <w:t>3.6.3.5. Condiciones de los certificados individuales. Los certificados individuales de seguro deben contener, como mínimo, la siguiente información:</w:t>
      </w:r>
    </w:p>
    <w:p w14:paraId="26D59D60" w14:textId="77777777" w:rsidR="005C2CB9" w:rsidRPr="008270B7" w:rsidRDefault="005C2CB9" w:rsidP="008270B7">
      <w:pPr>
        <w:tabs>
          <w:tab w:val="left" w:pos="720"/>
        </w:tabs>
        <w:jc w:val="both"/>
        <w:rPr>
          <w:rFonts w:cs="Arial"/>
          <w:sz w:val="16"/>
          <w:szCs w:val="16"/>
        </w:rPr>
      </w:pPr>
    </w:p>
    <w:p w14:paraId="6C034496" w14:textId="77777777" w:rsidR="005C2CB9" w:rsidRPr="008270B7" w:rsidRDefault="005C2CB9" w:rsidP="008270B7">
      <w:pPr>
        <w:tabs>
          <w:tab w:val="left" w:pos="720"/>
        </w:tabs>
        <w:jc w:val="both"/>
        <w:rPr>
          <w:rFonts w:cs="Arial"/>
          <w:sz w:val="16"/>
          <w:szCs w:val="16"/>
        </w:rPr>
      </w:pPr>
      <w:r w:rsidRPr="008270B7">
        <w:rPr>
          <w:rFonts w:cs="Arial"/>
          <w:sz w:val="16"/>
          <w:szCs w:val="16"/>
        </w:rPr>
        <w:t>3.6.3.5.1. Número de la póliza a la cual acceden.</w:t>
      </w:r>
    </w:p>
    <w:p w14:paraId="546B3117" w14:textId="77777777" w:rsidR="005C2CB9" w:rsidRPr="008270B7" w:rsidRDefault="005C2CB9" w:rsidP="008270B7">
      <w:pPr>
        <w:tabs>
          <w:tab w:val="left" w:pos="720"/>
        </w:tabs>
        <w:jc w:val="both"/>
        <w:rPr>
          <w:rFonts w:cs="Arial"/>
          <w:sz w:val="16"/>
          <w:szCs w:val="16"/>
        </w:rPr>
      </w:pPr>
      <w:r w:rsidRPr="008270B7">
        <w:rPr>
          <w:rFonts w:cs="Arial"/>
          <w:sz w:val="16"/>
          <w:szCs w:val="16"/>
        </w:rPr>
        <w:t>3.6.3.5.2. Denominación del asegurador y nombre del tomador.</w:t>
      </w:r>
    </w:p>
    <w:p w14:paraId="2F473046" w14:textId="77777777" w:rsidR="005C2CB9" w:rsidRPr="008270B7" w:rsidRDefault="005C2CB9" w:rsidP="008270B7">
      <w:pPr>
        <w:tabs>
          <w:tab w:val="left" w:pos="720"/>
        </w:tabs>
        <w:jc w:val="both"/>
        <w:rPr>
          <w:rFonts w:cs="Arial"/>
          <w:sz w:val="16"/>
          <w:szCs w:val="16"/>
        </w:rPr>
      </w:pPr>
      <w:r w:rsidRPr="008270B7">
        <w:rPr>
          <w:rFonts w:cs="Arial"/>
          <w:sz w:val="16"/>
          <w:szCs w:val="16"/>
        </w:rPr>
        <w:t>3.6.3.5.3. Nombre y documento de identificación del asegurado.</w:t>
      </w:r>
    </w:p>
    <w:p w14:paraId="5913BD01" w14:textId="77777777" w:rsidR="005C2CB9" w:rsidRPr="008270B7" w:rsidRDefault="005C2CB9" w:rsidP="008270B7">
      <w:pPr>
        <w:tabs>
          <w:tab w:val="left" w:pos="720"/>
        </w:tabs>
        <w:jc w:val="both"/>
        <w:rPr>
          <w:rFonts w:cs="Arial"/>
          <w:sz w:val="16"/>
          <w:szCs w:val="16"/>
        </w:rPr>
      </w:pPr>
      <w:r w:rsidRPr="008270B7">
        <w:rPr>
          <w:rFonts w:cs="Arial"/>
          <w:sz w:val="16"/>
          <w:szCs w:val="16"/>
        </w:rPr>
        <w:t>3.6.3.5.4. Vigencia del amparo individual, con indicación de la fecha y hora de iniciación.</w:t>
      </w:r>
    </w:p>
    <w:p w14:paraId="6546A574" w14:textId="77777777" w:rsidR="005C2CB9" w:rsidRPr="008270B7" w:rsidRDefault="005C2CB9" w:rsidP="008270B7">
      <w:pPr>
        <w:tabs>
          <w:tab w:val="left" w:pos="720"/>
        </w:tabs>
        <w:jc w:val="both"/>
        <w:rPr>
          <w:rFonts w:cs="Arial"/>
          <w:sz w:val="16"/>
          <w:szCs w:val="16"/>
        </w:rPr>
      </w:pPr>
      <w:r w:rsidRPr="008270B7">
        <w:rPr>
          <w:rFonts w:cs="Arial"/>
          <w:sz w:val="16"/>
          <w:szCs w:val="16"/>
        </w:rPr>
        <w:t>3.6.3.5.5. Suma asegurada o forma de determinarla.</w:t>
      </w:r>
    </w:p>
    <w:p w14:paraId="62464807" w14:textId="77777777" w:rsidR="005C2CB9" w:rsidRPr="008270B7" w:rsidRDefault="005C2CB9" w:rsidP="008270B7">
      <w:pPr>
        <w:tabs>
          <w:tab w:val="left" w:pos="720"/>
        </w:tabs>
        <w:jc w:val="both"/>
        <w:rPr>
          <w:rFonts w:cs="Arial"/>
          <w:sz w:val="16"/>
          <w:szCs w:val="16"/>
        </w:rPr>
      </w:pPr>
      <w:r w:rsidRPr="008270B7">
        <w:rPr>
          <w:rFonts w:cs="Arial"/>
          <w:sz w:val="16"/>
          <w:szCs w:val="16"/>
        </w:rPr>
        <w:t>3.6.3.5.6. Nombre de los beneficiarios, parentesco, título al cual se hace la designación y porcentaje o cuantía de su    participación.</w:t>
      </w:r>
    </w:p>
    <w:p w14:paraId="3D461C2B" w14:textId="77777777" w:rsidR="005C2CB9" w:rsidRPr="008270B7" w:rsidRDefault="005C2CB9" w:rsidP="008270B7">
      <w:pPr>
        <w:tabs>
          <w:tab w:val="left" w:pos="720"/>
        </w:tabs>
        <w:jc w:val="both"/>
        <w:rPr>
          <w:rFonts w:cs="Arial"/>
          <w:sz w:val="16"/>
          <w:szCs w:val="16"/>
        </w:rPr>
      </w:pPr>
      <w:r w:rsidRPr="008270B7">
        <w:rPr>
          <w:rFonts w:cs="Arial"/>
          <w:sz w:val="16"/>
          <w:szCs w:val="16"/>
        </w:rPr>
        <w:t>3.6.3.5.7. Cláusulas de la póliza referentes a la convertibilidad, si la hubiere, irreductibilidad, causales de terminación del amparo individual y consecuencias resultantes de la inexactitud respecto de la edad en la declaración de asegurabilidad.</w:t>
      </w:r>
    </w:p>
    <w:p w14:paraId="45B37F7A" w14:textId="77777777" w:rsidR="005C2CB9" w:rsidRPr="008270B7" w:rsidRDefault="005C2CB9" w:rsidP="008270B7">
      <w:pPr>
        <w:tabs>
          <w:tab w:val="left" w:pos="720"/>
        </w:tabs>
        <w:jc w:val="both"/>
        <w:rPr>
          <w:rFonts w:cs="Arial"/>
          <w:sz w:val="16"/>
          <w:szCs w:val="16"/>
        </w:rPr>
      </w:pPr>
      <w:r w:rsidRPr="008270B7">
        <w:rPr>
          <w:rFonts w:cs="Arial"/>
          <w:sz w:val="16"/>
          <w:szCs w:val="16"/>
        </w:rPr>
        <w:t>3.6.3.5.8. Amparos que se otorgan, con su respectiva definición, junto con la determinación del monto de la prima y la tasa aplicada.</w:t>
      </w:r>
    </w:p>
    <w:p w14:paraId="122E4DB4" w14:textId="77777777" w:rsidR="005C2CB9" w:rsidRPr="008270B7" w:rsidRDefault="005C2CB9" w:rsidP="008270B7">
      <w:pPr>
        <w:tabs>
          <w:tab w:val="left" w:pos="720"/>
        </w:tabs>
        <w:jc w:val="both"/>
        <w:rPr>
          <w:rFonts w:cs="Arial"/>
          <w:sz w:val="16"/>
          <w:szCs w:val="16"/>
        </w:rPr>
      </w:pPr>
      <w:r w:rsidRPr="008270B7">
        <w:rPr>
          <w:rFonts w:cs="Arial"/>
          <w:sz w:val="16"/>
          <w:szCs w:val="16"/>
        </w:rPr>
        <w:t>3.6.3.5.9. Edades desconocidas: Cuando se ignore la edad de alguno de los integrantes del grupo, la prima básica de las edades desconocidas se debe calcular aplicando la tasa correspondiente a la edad que se defina en la tarifa. En el certificado de seguro o recibo correspondiente debe advertirse al asegurado que su prima se liquidó con la tasa correspondiente a dicha edad, por desconocerse la edad real del mismo.</w:t>
      </w:r>
    </w:p>
    <w:p w14:paraId="1567B8D3" w14:textId="77777777" w:rsidR="005C2CB9" w:rsidRPr="008270B7" w:rsidRDefault="005C2CB9" w:rsidP="008270B7">
      <w:pPr>
        <w:tabs>
          <w:tab w:val="left" w:pos="720"/>
        </w:tabs>
        <w:jc w:val="both"/>
        <w:rPr>
          <w:rFonts w:cs="Arial"/>
          <w:sz w:val="16"/>
          <w:szCs w:val="16"/>
        </w:rPr>
      </w:pPr>
    </w:p>
    <w:p w14:paraId="472A469A" w14:textId="77777777" w:rsidR="005C2CB9" w:rsidRPr="008270B7" w:rsidRDefault="005C2CB9" w:rsidP="008270B7">
      <w:pPr>
        <w:pStyle w:val="Sangra2detindependiente"/>
        <w:tabs>
          <w:tab w:val="left" w:pos="720"/>
        </w:tabs>
        <w:ind w:left="0"/>
        <w:rPr>
          <w:rFonts w:cs="Arial"/>
          <w:sz w:val="16"/>
          <w:szCs w:val="16"/>
        </w:rPr>
      </w:pPr>
      <w:r w:rsidRPr="008270B7">
        <w:rPr>
          <w:rFonts w:cs="Arial"/>
          <w:sz w:val="16"/>
          <w:szCs w:val="16"/>
        </w:rPr>
        <w:t>Las tasas promedio no pueden calcularse aplicando esta disposición, por lo cual las edades que conformen la muestra deben conocerse en su integridad.</w:t>
      </w:r>
    </w:p>
    <w:p w14:paraId="3BE35484" w14:textId="77777777" w:rsidR="005C2CB9" w:rsidRPr="008270B7" w:rsidRDefault="005C2CB9" w:rsidP="008270B7">
      <w:pPr>
        <w:pStyle w:val="Textoindependiente21"/>
        <w:tabs>
          <w:tab w:val="clear" w:pos="851"/>
          <w:tab w:val="left" w:pos="720"/>
        </w:tabs>
        <w:rPr>
          <w:rFonts w:cs="Arial"/>
          <w:sz w:val="16"/>
          <w:szCs w:val="16"/>
          <w:lang w:val="es-ES"/>
        </w:rPr>
      </w:pPr>
    </w:p>
    <w:p w14:paraId="1B2E2C3D" w14:textId="77777777" w:rsidR="005C2CB9" w:rsidRPr="008270B7" w:rsidRDefault="005C2CB9" w:rsidP="008270B7">
      <w:pPr>
        <w:tabs>
          <w:tab w:val="left" w:pos="720"/>
        </w:tabs>
        <w:jc w:val="both"/>
        <w:rPr>
          <w:rFonts w:cs="Arial"/>
          <w:sz w:val="16"/>
          <w:szCs w:val="16"/>
        </w:rPr>
      </w:pPr>
      <w:r w:rsidRPr="008270B7">
        <w:rPr>
          <w:rFonts w:cs="Arial"/>
          <w:sz w:val="16"/>
          <w:szCs w:val="16"/>
        </w:rPr>
        <w:t>3.6.3.6. Garantía de la convertibilidad. Con excepción de las pólizas de deudores, a los seguros de vida grupo les es aplicable la cláusula de convertibilidad.</w:t>
      </w:r>
    </w:p>
    <w:p w14:paraId="5563E34C" w14:textId="77777777" w:rsidR="005C2CB9" w:rsidRPr="008270B7" w:rsidRDefault="005C2CB9" w:rsidP="008270B7">
      <w:pPr>
        <w:tabs>
          <w:tab w:val="left" w:pos="720"/>
        </w:tabs>
        <w:jc w:val="both"/>
        <w:rPr>
          <w:rFonts w:cs="Arial"/>
          <w:sz w:val="16"/>
          <w:szCs w:val="16"/>
        </w:rPr>
      </w:pPr>
    </w:p>
    <w:p w14:paraId="7413AADB" w14:textId="77777777" w:rsidR="005C2CB9" w:rsidRPr="008270B7" w:rsidRDefault="005C2CB9" w:rsidP="008270B7">
      <w:pPr>
        <w:tabs>
          <w:tab w:val="left" w:pos="720"/>
        </w:tabs>
        <w:jc w:val="both"/>
        <w:rPr>
          <w:rFonts w:cs="Arial"/>
          <w:sz w:val="16"/>
          <w:szCs w:val="16"/>
        </w:rPr>
      </w:pPr>
      <w:r w:rsidRPr="008270B7">
        <w:rPr>
          <w:rFonts w:cs="Arial"/>
          <w:sz w:val="16"/>
          <w:szCs w:val="16"/>
        </w:rPr>
        <w:t>Para tal efecto, las aseguradoras deben garantizar dicho beneficio en la oportunidad en que se solicite la autorización para operar el ramo correspondiente o al momento de su renovación, mediante los siguientes mecanismos:</w:t>
      </w:r>
    </w:p>
    <w:p w14:paraId="318E8201" w14:textId="77777777" w:rsidR="005C2CB9" w:rsidRPr="008270B7" w:rsidRDefault="005C2CB9" w:rsidP="008270B7">
      <w:pPr>
        <w:tabs>
          <w:tab w:val="left" w:pos="720"/>
        </w:tabs>
        <w:jc w:val="both"/>
        <w:rPr>
          <w:rFonts w:cs="Arial"/>
          <w:sz w:val="16"/>
          <w:szCs w:val="16"/>
        </w:rPr>
      </w:pPr>
    </w:p>
    <w:p w14:paraId="431E3050" w14:textId="77777777" w:rsidR="005C2CB9" w:rsidRPr="008270B7" w:rsidRDefault="005C2CB9" w:rsidP="008270B7">
      <w:pPr>
        <w:tabs>
          <w:tab w:val="left" w:pos="720"/>
        </w:tabs>
        <w:jc w:val="both"/>
        <w:rPr>
          <w:rFonts w:cs="Arial"/>
          <w:sz w:val="16"/>
          <w:szCs w:val="16"/>
        </w:rPr>
      </w:pPr>
      <w:r w:rsidRPr="008270B7">
        <w:rPr>
          <w:rFonts w:cs="Arial"/>
          <w:sz w:val="16"/>
          <w:szCs w:val="16"/>
        </w:rPr>
        <w:t>3.6.3.6.1. Contar con la aprobación de esta entidad para ofrecer pólizas de seguro de vida individual, distintas a los planes temporales o crecientes.</w:t>
      </w:r>
    </w:p>
    <w:p w14:paraId="78303FA1" w14:textId="77777777" w:rsidR="005C2CB9" w:rsidRPr="008270B7" w:rsidRDefault="005C2CB9" w:rsidP="008270B7">
      <w:pPr>
        <w:tabs>
          <w:tab w:val="left" w:pos="720"/>
        </w:tabs>
        <w:jc w:val="both"/>
        <w:rPr>
          <w:rFonts w:cs="Arial"/>
          <w:sz w:val="16"/>
          <w:szCs w:val="16"/>
        </w:rPr>
      </w:pPr>
    </w:p>
    <w:p w14:paraId="59487675" w14:textId="77777777" w:rsidR="003D3E9A" w:rsidRPr="008270B7" w:rsidRDefault="005C2CB9" w:rsidP="008270B7">
      <w:pPr>
        <w:tabs>
          <w:tab w:val="left" w:pos="720"/>
        </w:tabs>
        <w:jc w:val="both"/>
        <w:rPr>
          <w:rFonts w:cs="Arial"/>
          <w:sz w:val="16"/>
          <w:szCs w:val="16"/>
        </w:rPr>
        <w:sectPr w:rsidR="003D3E9A" w:rsidRPr="008270B7" w:rsidSect="00C45653">
          <w:footerReference w:type="default" r:id="rId83"/>
          <w:headerReference w:type="first" r:id="rId84"/>
          <w:footerReference w:type="first" r:id="rId85"/>
          <w:pgSz w:w="12240" w:h="18720" w:code="257"/>
          <w:pgMar w:top="1417" w:right="1701" w:bottom="1417" w:left="1701" w:header="709" w:footer="865" w:gutter="0"/>
          <w:pgNumType w:start="26"/>
          <w:cols w:space="708"/>
          <w:titlePg/>
          <w:docGrid w:linePitch="360"/>
        </w:sectPr>
      </w:pPr>
      <w:r w:rsidRPr="008270B7">
        <w:rPr>
          <w:rFonts w:cs="Arial"/>
          <w:sz w:val="16"/>
          <w:szCs w:val="16"/>
        </w:rPr>
        <w:t xml:space="preserve">3.6.3.6.2. De manera subsidiaria acreditar un contrato con una entidad aseguradora que cumpla con el requisito anterior, mediante el cual esta aseguradora se comprometa a aceptar sin requisitos de asegurabilidad, y en las mismas condiciones </w:t>
      </w:r>
    </w:p>
    <w:p w14:paraId="4763A9A3" w14:textId="77777777" w:rsidR="003D3E9A" w:rsidRPr="008270B7" w:rsidRDefault="003D3E9A" w:rsidP="008270B7">
      <w:pPr>
        <w:tabs>
          <w:tab w:val="left" w:pos="720"/>
        </w:tabs>
        <w:jc w:val="both"/>
        <w:rPr>
          <w:rFonts w:cs="Arial"/>
          <w:sz w:val="16"/>
          <w:szCs w:val="16"/>
        </w:rPr>
      </w:pPr>
      <w:r w:rsidRPr="008270B7">
        <w:rPr>
          <w:rFonts w:cs="Arial"/>
          <w:sz w:val="16"/>
          <w:szCs w:val="16"/>
        </w:rPr>
        <w:lastRenderedPageBreak/>
        <w:t>vigentes al momento de retirarse del grupo, a aquellos asegurados provenientes de pólizas de vida grupo que accedan a la cláusula de convertibilidad.</w:t>
      </w:r>
    </w:p>
    <w:p w14:paraId="556F9EF1" w14:textId="77777777" w:rsidR="003D3E9A" w:rsidRPr="008270B7" w:rsidRDefault="003D3E9A" w:rsidP="008270B7">
      <w:pPr>
        <w:tabs>
          <w:tab w:val="left" w:pos="720"/>
        </w:tabs>
        <w:jc w:val="both"/>
        <w:rPr>
          <w:rFonts w:cs="Arial"/>
          <w:sz w:val="16"/>
          <w:szCs w:val="16"/>
        </w:rPr>
      </w:pPr>
    </w:p>
    <w:p w14:paraId="36315D64" w14:textId="77777777" w:rsidR="003D3E9A" w:rsidRPr="008270B7" w:rsidRDefault="003D3E9A" w:rsidP="008270B7">
      <w:pPr>
        <w:tabs>
          <w:tab w:val="left" w:pos="720"/>
        </w:tabs>
        <w:jc w:val="both"/>
        <w:rPr>
          <w:rFonts w:cs="Arial"/>
          <w:sz w:val="16"/>
          <w:szCs w:val="16"/>
        </w:rPr>
      </w:pPr>
      <w:r w:rsidRPr="008270B7">
        <w:rPr>
          <w:rFonts w:cs="Arial"/>
          <w:sz w:val="16"/>
          <w:szCs w:val="16"/>
        </w:rPr>
        <w:t>3.6.3.7. Pólizas de deudores. Por saldo insoluto de la deuda, para efectos del presente numeral, se entiende el capital no pagado, más los intereses corrientes calculados hasta la fecha de fallecimiento del asegurado. En el evento de mora en las obligaciones se incluyen, además, los intereses moratorios y las primas del seguro de vida grupo deudores no cancelados por el deudor. Cuando el valor de la deuda a la cual se vincula el seguro se exprese en unidades de valor real UVR, la indemnización debe ser calculada con base en las aludidas unidades adeudadas en la fecha del envío de la citada comunicación, liquidada a la cotización del día en el cual se efectúe el pago.</w:t>
      </w:r>
    </w:p>
    <w:p w14:paraId="1ED89701" w14:textId="77777777" w:rsidR="003D3E9A" w:rsidRPr="008270B7" w:rsidRDefault="003D3E9A" w:rsidP="008270B7">
      <w:pPr>
        <w:pStyle w:val="Textoindependiente210"/>
        <w:tabs>
          <w:tab w:val="clear" w:pos="851"/>
          <w:tab w:val="left" w:pos="720"/>
        </w:tabs>
        <w:rPr>
          <w:rFonts w:cs="Arial"/>
          <w:sz w:val="16"/>
          <w:szCs w:val="16"/>
          <w:lang w:val="es-ES"/>
        </w:rPr>
      </w:pPr>
    </w:p>
    <w:p w14:paraId="7625B463" w14:textId="77777777" w:rsidR="003D3E9A" w:rsidRPr="008270B7" w:rsidRDefault="003D3E9A" w:rsidP="008270B7">
      <w:pPr>
        <w:pStyle w:val="Textoindependiente210"/>
        <w:tabs>
          <w:tab w:val="clear" w:pos="851"/>
          <w:tab w:val="left" w:pos="720"/>
        </w:tabs>
        <w:rPr>
          <w:rFonts w:cs="Arial"/>
          <w:sz w:val="16"/>
          <w:szCs w:val="16"/>
          <w:lang w:val="es-ES"/>
        </w:rPr>
      </w:pPr>
      <w:r w:rsidRPr="008270B7">
        <w:rPr>
          <w:rFonts w:cs="Arial"/>
          <w:sz w:val="16"/>
          <w:szCs w:val="16"/>
          <w:lang w:val="es-ES"/>
        </w:rPr>
        <w:t>En este tipo de pólizas, además del deudor o deudores, pueden asegurarse los codeudores por la misma suma asegurada y con los amparos con los cuales cuenten éstos. Pero el tomador sólo puede exigir el seguro para el deudor o deudores.</w:t>
      </w:r>
    </w:p>
    <w:p w14:paraId="1F862E8E" w14:textId="77777777" w:rsidR="003D3E9A" w:rsidRPr="008270B7" w:rsidRDefault="003D3E9A" w:rsidP="008270B7">
      <w:pPr>
        <w:tabs>
          <w:tab w:val="left" w:pos="720"/>
        </w:tabs>
        <w:jc w:val="both"/>
        <w:rPr>
          <w:rFonts w:cs="Arial"/>
          <w:sz w:val="16"/>
          <w:szCs w:val="16"/>
        </w:rPr>
      </w:pPr>
    </w:p>
    <w:p w14:paraId="79B4C956" w14:textId="77777777" w:rsidR="003D3E9A" w:rsidRPr="008270B7" w:rsidRDefault="003D3E9A" w:rsidP="008270B7">
      <w:pPr>
        <w:pStyle w:val="Textoindependiente210"/>
        <w:tabs>
          <w:tab w:val="clear" w:pos="851"/>
          <w:tab w:val="left" w:pos="720"/>
        </w:tabs>
        <w:rPr>
          <w:rFonts w:cs="Arial"/>
          <w:sz w:val="16"/>
          <w:szCs w:val="16"/>
          <w:lang w:val="es-ES"/>
        </w:rPr>
      </w:pPr>
      <w:r w:rsidRPr="008270B7">
        <w:rPr>
          <w:rFonts w:cs="Arial"/>
          <w:sz w:val="16"/>
          <w:szCs w:val="16"/>
          <w:lang w:val="es-ES"/>
        </w:rPr>
        <w:t>Cuando existan varios asegurados respecto de una misma deuda son aplicables las normas contenidas en los incisos precedentes, con ocasión de la realización del riesgo asegurado en relación con cualquiera de los mencionados asegurados.</w:t>
      </w:r>
    </w:p>
    <w:p w14:paraId="279CDA96" w14:textId="77777777" w:rsidR="003D3E9A" w:rsidRPr="008270B7" w:rsidRDefault="003D3E9A" w:rsidP="008270B7">
      <w:pPr>
        <w:tabs>
          <w:tab w:val="left" w:pos="720"/>
        </w:tabs>
        <w:jc w:val="both"/>
        <w:rPr>
          <w:rFonts w:cs="Arial"/>
          <w:sz w:val="16"/>
          <w:szCs w:val="16"/>
        </w:rPr>
      </w:pPr>
    </w:p>
    <w:p w14:paraId="477A6729" w14:textId="77777777" w:rsidR="003D3E9A" w:rsidRPr="008270B7" w:rsidRDefault="003D3E9A" w:rsidP="008270B7">
      <w:pPr>
        <w:pStyle w:val="Textoindependiente210"/>
        <w:tabs>
          <w:tab w:val="clear" w:pos="851"/>
          <w:tab w:val="left" w:pos="720"/>
        </w:tabs>
        <w:rPr>
          <w:rFonts w:cs="Arial"/>
          <w:sz w:val="16"/>
          <w:szCs w:val="16"/>
          <w:lang w:val="es-ES"/>
        </w:rPr>
      </w:pPr>
      <w:r w:rsidRPr="008270B7">
        <w:rPr>
          <w:rFonts w:cs="Arial"/>
          <w:sz w:val="16"/>
          <w:szCs w:val="16"/>
          <w:lang w:val="es-ES"/>
        </w:rPr>
        <w:t xml:space="preserve">El seguro termina para los asegurados sobrevivientes o no incapacitados total y permanentemente, en la fecha de fallecimiento o declaratoria total y permanente para el primero de los asegurados respecto del cual se realice el riesgo asegurado y se cancele la indemnización por el saldo insoluto de la deuda a cargo del asegurador. </w:t>
      </w:r>
    </w:p>
    <w:p w14:paraId="3DD4725A" w14:textId="77777777" w:rsidR="003D3E9A" w:rsidRPr="008270B7" w:rsidRDefault="003D3E9A" w:rsidP="008270B7">
      <w:pPr>
        <w:tabs>
          <w:tab w:val="left" w:pos="720"/>
        </w:tabs>
        <w:jc w:val="both"/>
        <w:rPr>
          <w:rFonts w:cs="Arial"/>
          <w:sz w:val="16"/>
          <w:szCs w:val="16"/>
        </w:rPr>
      </w:pPr>
    </w:p>
    <w:p w14:paraId="1A33B419" w14:textId="77777777" w:rsidR="003D3E9A" w:rsidRPr="008270B7" w:rsidRDefault="003D3E9A" w:rsidP="008270B7">
      <w:pPr>
        <w:tabs>
          <w:tab w:val="left" w:pos="720"/>
        </w:tabs>
        <w:ind w:left="709" w:hanging="709"/>
        <w:jc w:val="both"/>
        <w:rPr>
          <w:rFonts w:cs="Arial"/>
          <w:sz w:val="16"/>
          <w:szCs w:val="16"/>
        </w:rPr>
      </w:pPr>
      <w:r w:rsidRPr="008270B7">
        <w:rPr>
          <w:rFonts w:cs="Arial"/>
          <w:sz w:val="16"/>
          <w:szCs w:val="16"/>
        </w:rPr>
        <w:t>3.6.4. Tabla colombiana de mortalidad de los asegurados</w:t>
      </w:r>
    </w:p>
    <w:p w14:paraId="4C90EEE9" w14:textId="77777777" w:rsidR="003D3E9A" w:rsidRPr="008270B7" w:rsidRDefault="003D3E9A" w:rsidP="008270B7">
      <w:pPr>
        <w:tabs>
          <w:tab w:val="left" w:pos="720"/>
        </w:tabs>
        <w:jc w:val="both"/>
        <w:rPr>
          <w:rFonts w:cs="Arial"/>
          <w:sz w:val="16"/>
          <w:szCs w:val="16"/>
        </w:rPr>
      </w:pPr>
    </w:p>
    <w:p w14:paraId="6F2A3396" w14:textId="77777777" w:rsidR="003D3E9A" w:rsidRPr="008270B7" w:rsidRDefault="003D3E9A" w:rsidP="008270B7">
      <w:pPr>
        <w:tabs>
          <w:tab w:val="left" w:pos="720"/>
        </w:tabs>
        <w:jc w:val="both"/>
        <w:rPr>
          <w:rFonts w:cs="Arial"/>
          <w:sz w:val="16"/>
          <w:szCs w:val="16"/>
        </w:rPr>
      </w:pPr>
      <w:r w:rsidRPr="008270B7">
        <w:rPr>
          <w:rFonts w:cs="Arial"/>
          <w:sz w:val="16"/>
          <w:szCs w:val="16"/>
        </w:rPr>
        <w:t>La referencia a las tablas de mortalidad de asegurados vigentes en Colombia se encuentra en el anexo 4 del presente Título.</w:t>
      </w:r>
    </w:p>
    <w:p w14:paraId="410A049E" w14:textId="77777777" w:rsidR="003D3E9A" w:rsidRPr="008270B7" w:rsidRDefault="003D3E9A" w:rsidP="008270B7">
      <w:pPr>
        <w:tabs>
          <w:tab w:val="left" w:pos="720"/>
          <w:tab w:val="left" w:pos="1064"/>
          <w:tab w:val="left" w:pos="2057"/>
        </w:tabs>
        <w:ind w:right="356"/>
        <w:jc w:val="both"/>
        <w:rPr>
          <w:rFonts w:cs="Arial"/>
          <w:sz w:val="16"/>
          <w:szCs w:val="16"/>
        </w:rPr>
      </w:pPr>
    </w:p>
    <w:p w14:paraId="385FF671" w14:textId="77777777" w:rsidR="003D3E9A" w:rsidRPr="008270B7" w:rsidRDefault="003D3E9A" w:rsidP="008270B7">
      <w:pPr>
        <w:pStyle w:val="Ttulo2"/>
        <w:jc w:val="both"/>
        <w:rPr>
          <w:b w:val="0"/>
          <w:bCs w:val="0"/>
          <w:szCs w:val="16"/>
        </w:rPr>
      </w:pPr>
      <w:bookmarkStart w:id="20" w:name="_Toc269950172"/>
      <w:r w:rsidRPr="008270B7">
        <w:rPr>
          <w:b w:val="0"/>
          <w:bCs w:val="0"/>
          <w:szCs w:val="16"/>
        </w:rPr>
        <w:t>3.7. Reglas especiales aplicables al ramo de pensiones con conmutación pensional</w:t>
      </w:r>
      <w:bookmarkEnd w:id="20"/>
      <w:r w:rsidRPr="008270B7">
        <w:rPr>
          <w:b w:val="0"/>
          <w:bCs w:val="0"/>
          <w:szCs w:val="16"/>
        </w:rPr>
        <w:t xml:space="preserve"> </w:t>
      </w:r>
    </w:p>
    <w:p w14:paraId="547E2D1C" w14:textId="77777777" w:rsidR="003D3E9A" w:rsidRPr="008270B7" w:rsidRDefault="003D3E9A" w:rsidP="008270B7">
      <w:pPr>
        <w:tabs>
          <w:tab w:val="left" w:pos="720"/>
          <w:tab w:val="left" w:pos="1064"/>
          <w:tab w:val="left" w:pos="2057"/>
        </w:tabs>
        <w:ind w:right="356"/>
        <w:jc w:val="both"/>
        <w:rPr>
          <w:rFonts w:cs="Arial"/>
          <w:sz w:val="16"/>
          <w:szCs w:val="16"/>
        </w:rPr>
      </w:pPr>
    </w:p>
    <w:p w14:paraId="07955FC5" w14:textId="77777777" w:rsidR="003D3E9A" w:rsidRPr="008270B7" w:rsidRDefault="003D3E9A" w:rsidP="008270B7">
      <w:pPr>
        <w:pStyle w:val="Textoindependiente"/>
        <w:tabs>
          <w:tab w:val="left" w:pos="720"/>
        </w:tabs>
        <w:rPr>
          <w:rFonts w:cs="Arial"/>
          <w:b w:val="0"/>
          <w:sz w:val="16"/>
          <w:szCs w:val="16"/>
        </w:rPr>
      </w:pPr>
      <w:r w:rsidRPr="008270B7">
        <w:rPr>
          <w:rFonts w:cs="Arial"/>
          <w:b w:val="0"/>
          <w:sz w:val="16"/>
          <w:szCs w:val="16"/>
        </w:rPr>
        <w:t>Este ramo hace referencia al seguro mediante el cual, por virtud de una conmutación pensional entre la sociedad a cargo de la pensión y la entidad aseguradora, ésta asume el riesgo asociado al pago de pensiones originadas en una relación laboral.</w:t>
      </w:r>
    </w:p>
    <w:p w14:paraId="0887BED1" w14:textId="77777777" w:rsidR="003D3E9A" w:rsidRPr="008270B7" w:rsidRDefault="003D3E9A" w:rsidP="008270B7">
      <w:pPr>
        <w:pStyle w:val="Textoindependiente"/>
        <w:tabs>
          <w:tab w:val="left" w:pos="720"/>
        </w:tabs>
        <w:rPr>
          <w:rFonts w:cs="Arial"/>
          <w:b w:val="0"/>
          <w:sz w:val="16"/>
          <w:szCs w:val="16"/>
        </w:rPr>
      </w:pPr>
    </w:p>
    <w:p w14:paraId="5AB01EE2" w14:textId="77777777" w:rsidR="003D3E9A" w:rsidRPr="008270B7" w:rsidRDefault="003D3E9A" w:rsidP="008270B7">
      <w:pPr>
        <w:pStyle w:val="Ttulo2"/>
        <w:jc w:val="both"/>
        <w:rPr>
          <w:b w:val="0"/>
          <w:bCs w:val="0"/>
          <w:szCs w:val="16"/>
        </w:rPr>
      </w:pPr>
      <w:bookmarkStart w:id="21" w:name="_Toc269950173"/>
      <w:r w:rsidRPr="008270B7">
        <w:rPr>
          <w:b w:val="0"/>
          <w:bCs w:val="0"/>
          <w:szCs w:val="16"/>
        </w:rPr>
        <w:t>3.8. Tablas de riesgos de vejez, invalidez y sobrevivencia</w:t>
      </w:r>
      <w:bookmarkEnd w:id="21"/>
      <w:r w:rsidRPr="008270B7">
        <w:rPr>
          <w:b w:val="0"/>
          <w:bCs w:val="0"/>
          <w:szCs w:val="16"/>
        </w:rPr>
        <w:t xml:space="preserve"> </w:t>
      </w:r>
    </w:p>
    <w:p w14:paraId="319D9E77" w14:textId="77777777" w:rsidR="003D3E9A" w:rsidRPr="008270B7" w:rsidRDefault="003D3E9A" w:rsidP="008270B7">
      <w:pPr>
        <w:tabs>
          <w:tab w:val="left" w:pos="0"/>
          <w:tab w:val="left" w:pos="720"/>
        </w:tabs>
        <w:ind w:right="-232"/>
        <w:jc w:val="both"/>
        <w:rPr>
          <w:rFonts w:cs="Arial"/>
          <w:sz w:val="16"/>
          <w:szCs w:val="16"/>
        </w:rPr>
      </w:pPr>
    </w:p>
    <w:p w14:paraId="06D51752" w14:textId="77777777" w:rsidR="003D3E9A" w:rsidRPr="008270B7" w:rsidRDefault="003D3E9A" w:rsidP="008270B7">
      <w:pPr>
        <w:tabs>
          <w:tab w:val="left" w:pos="0"/>
          <w:tab w:val="left" w:pos="720"/>
        </w:tabs>
        <w:ind w:right="51"/>
        <w:jc w:val="both"/>
        <w:rPr>
          <w:rFonts w:cs="Arial"/>
          <w:sz w:val="16"/>
          <w:szCs w:val="16"/>
        </w:rPr>
      </w:pPr>
      <w:r w:rsidRPr="008270B7">
        <w:rPr>
          <w:rFonts w:cs="Arial"/>
          <w:sz w:val="16"/>
          <w:szCs w:val="16"/>
        </w:rPr>
        <w:t>De acuerdo con el art. 45 del Decreto 656 de 1994, las entidades administradoras del SGP y las correspondientes entidades aseguradoras de vida deben utilizar para los desarrollos propios de sus productos y de los cálculos actuariales que se deriven de los mismos y que deban efectuar respecto de su operación técnica, tablas asociadas con los riesgos de vejez, invalidez y sobrevivencia, las cuales son fijadas por la SFC.</w:t>
      </w:r>
    </w:p>
    <w:p w14:paraId="37EC6155" w14:textId="77777777" w:rsidR="003D3E9A" w:rsidRPr="008270B7" w:rsidRDefault="003D3E9A" w:rsidP="008270B7">
      <w:pPr>
        <w:tabs>
          <w:tab w:val="left" w:pos="0"/>
          <w:tab w:val="left" w:pos="720"/>
        </w:tabs>
        <w:ind w:right="-232"/>
        <w:jc w:val="both"/>
        <w:rPr>
          <w:rFonts w:cs="Arial"/>
          <w:sz w:val="16"/>
          <w:szCs w:val="16"/>
        </w:rPr>
      </w:pPr>
    </w:p>
    <w:p w14:paraId="025ECABB" w14:textId="77777777" w:rsidR="003D3E9A" w:rsidRPr="008270B7" w:rsidRDefault="003D3E9A" w:rsidP="008270B7">
      <w:pPr>
        <w:tabs>
          <w:tab w:val="left" w:pos="0"/>
          <w:tab w:val="left" w:pos="720"/>
          <w:tab w:val="left" w:pos="9639"/>
        </w:tabs>
        <w:ind w:right="51"/>
        <w:jc w:val="both"/>
        <w:rPr>
          <w:rFonts w:cs="Arial"/>
          <w:sz w:val="16"/>
          <w:szCs w:val="16"/>
        </w:rPr>
      </w:pPr>
      <w:r w:rsidRPr="008270B7">
        <w:rPr>
          <w:rFonts w:cs="Arial"/>
          <w:sz w:val="16"/>
          <w:szCs w:val="16"/>
        </w:rPr>
        <w:t>Para efectos del cálculo de las primas de seguros de rentas, de invalidez, de sobrevivencia y los productos de planes de pensiones, así como de las reservas correspondientes, se deben observar las tablas que se encuentran contenidas en los siguientes anexos del presente Título:</w:t>
      </w:r>
    </w:p>
    <w:p w14:paraId="09941B0A" w14:textId="77777777" w:rsidR="003D3E9A" w:rsidRPr="008270B7" w:rsidRDefault="003D3E9A" w:rsidP="008270B7">
      <w:pPr>
        <w:tabs>
          <w:tab w:val="left" w:pos="0"/>
          <w:tab w:val="left" w:pos="720"/>
          <w:tab w:val="left" w:pos="9639"/>
        </w:tabs>
        <w:ind w:right="51"/>
        <w:jc w:val="both"/>
        <w:rPr>
          <w:rFonts w:cs="Arial"/>
          <w:sz w:val="16"/>
          <w:szCs w:val="16"/>
        </w:rPr>
      </w:pPr>
    </w:p>
    <w:p w14:paraId="11DDFD78" w14:textId="77777777" w:rsidR="003D3E9A" w:rsidRPr="008270B7" w:rsidRDefault="003D3E9A" w:rsidP="008270B7">
      <w:pPr>
        <w:tabs>
          <w:tab w:val="left" w:pos="0"/>
          <w:tab w:val="left" w:pos="720"/>
          <w:tab w:val="left" w:pos="9639"/>
        </w:tabs>
        <w:ind w:right="51"/>
        <w:jc w:val="both"/>
        <w:rPr>
          <w:rFonts w:cs="Arial"/>
          <w:sz w:val="16"/>
          <w:szCs w:val="16"/>
        </w:rPr>
      </w:pPr>
      <w:r w:rsidRPr="008270B7">
        <w:rPr>
          <w:rFonts w:cs="Arial"/>
          <w:sz w:val="16"/>
          <w:szCs w:val="16"/>
        </w:rPr>
        <w:t>Anexo 5: Tabla de mortalidad de rentistas</w:t>
      </w:r>
    </w:p>
    <w:p w14:paraId="0C519CDC" w14:textId="77777777" w:rsidR="003D3E9A" w:rsidRPr="008270B7" w:rsidRDefault="003D3E9A" w:rsidP="008270B7">
      <w:pPr>
        <w:tabs>
          <w:tab w:val="left" w:pos="0"/>
          <w:tab w:val="left" w:pos="720"/>
          <w:tab w:val="left" w:pos="9639"/>
        </w:tabs>
        <w:ind w:right="51"/>
        <w:jc w:val="both"/>
        <w:rPr>
          <w:rFonts w:cs="Arial"/>
          <w:sz w:val="16"/>
          <w:szCs w:val="16"/>
        </w:rPr>
      </w:pPr>
      <w:r w:rsidRPr="008270B7">
        <w:rPr>
          <w:rFonts w:cs="Arial"/>
          <w:sz w:val="16"/>
          <w:szCs w:val="16"/>
        </w:rPr>
        <w:t>Anexo 6: Tabla de invalidez de activos</w:t>
      </w:r>
    </w:p>
    <w:p w14:paraId="31FB57F6" w14:textId="77777777" w:rsidR="003D3E9A" w:rsidRPr="008270B7" w:rsidRDefault="003D3E9A" w:rsidP="008270B7">
      <w:pPr>
        <w:tabs>
          <w:tab w:val="left" w:pos="0"/>
          <w:tab w:val="left" w:pos="720"/>
          <w:tab w:val="left" w:pos="9639"/>
        </w:tabs>
        <w:ind w:right="51"/>
        <w:jc w:val="both"/>
        <w:rPr>
          <w:rFonts w:cs="Arial"/>
          <w:sz w:val="16"/>
          <w:szCs w:val="16"/>
        </w:rPr>
      </w:pPr>
      <w:r w:rsidRPr="008270B7">
        <w:rPr>
          <w:rFonts w:cs="Arial"/>
          <w:sz w:val="16"/>
          <w:szCs w:val="16"/>
        </w:rPr>
        <w:t>Anexo 7: Tabla de mortalidad de inválidos</w:t>
      </w:r>
    </w:p>
    <w:p w14:paraId="126A44C2" w14:textId="77777777" w:rsidR="003D3E9A" w:rsidRPr="008270B7" w:rsidRDefault="003D3E9A" w:rsidP="008270B7">
      <w:pPr>
        <w:tabs>
          <w:tab w:val="left" w:pos="720"/>
        </w:tabs>
        <w:ind w:right="51"/>
        <w:jc w:val="both"/>
        <w:rPr>
          <w:rFonts w:cs="Arial"/>
          <w:sz w:val="16"/>
          <w:szCs w:val="16"/>
        </w:rPr>
      </w:pPr>
    </w:p>
    <w:p w14:paraId="11DC9425" w14:textId="77777777" w:rsidR="003D3E9A" w:rsidRPr="008270B7" w:rsidRDefault="003D3E9A" w:rsidP="008270B7">
      <w:pPr>
        <w:tabs>
          <w:tab w:val="left" w:pos="720"/>
        </w:tabs>
        <w:ind w:right="51"/>
        <w:jc w:val="both"/>
        <w:rPr>
          <w:rFonts w:cs="Arial"/>
          <w:sz w:val="16"/>
          <w:szCs w:val="16"/>
        </w:rPr>
      </w:pPr>
      <w:r w:rsidRPr="008270B7">
        <w:rPr>
          <w:rFonts w:cs="Arial"/>
          <w:sz w:val="16"/>
          <w:szCs w:val="16"/>
        </w:rPr>
        <w:t>De acuerdo con lo previsto en el art. 46 del Decreto Ley 656 de 1994, la SFC puede modificar la metodología, presentación y, en general, cualquier aspecto inherente al desarrollo de las mencionadas tablas.</w:t>
      </w:r>
    </w:p>
    <w:p w14:paraId="562BFA1D" w14:textId="77777777" w:rsidR="003D3E9A" w:rsidRPr="008270B7" w:rsidRDefault="003D3E9A" w:rsidP="008270B7">
      <w:pPr>
        <w:tabs>
          <w:tab w:val="left" w:pos="-1134"/>
        </w:tabs>
        <w:ind w:right="356"/>
        <w:jc w:val="both"/>
        <w:rPr>
          <w:rFonts w:cs="Arial"/>
          <w:sz w:val="16"/>
          <w:szCs w:val="16"/>
        </w:rPr>
      </w:pPr>
    </w:p>
    <w:p w14:paraId="7027023C" w14:textId="77777777" w:rsidR="003D3E9A" w:rsidRPr="008270B7" w:rsidRDefault="003D3E9A" w:rsidP="008270B7">
      <w:pPr>
        <w:pStyle w:val="Ttulo2"/>
        <w:jc w:val="both"/>
        <w:rPr>
          <w:b w:val="0"/>
          <w:bCs w:val="0"/>
          <w:szCs w:val="16"/>
        </w:rPr>
      </w:pPr>
      <w:bookmarkStart w:id="22" w:name="_Toc269950174"/>
      <w:r w:rsidRPr="008270B7">
        <w:rPr>
          <w:b w:val="0"/>
          <w:bCs w:val="0"/>
          <w:szCs w:val="16"/>
        </w:rPr>
        <w:t>3.9. Reglas aplicables al ramo de cumplimiento</w:t>
      </w:r>
      <w:bookmarkEnd w:id="22"/>
    </w:p>
    <w:p w14:paraId="238DBC46" w14:textId="77777777" w:rsidR="003D3E9A" w:rsidRPr="008270B7" w:rsidRDefault="003D3E9A" w:rsidP="008270B7">
      <w:pPr>
        <w:tabs>
          <w:tab w:val="left" w:pos="-1134"/>
        </w:tabs>
        <w:ind w:right="356"/>
        <w:jc w:val="both"/>
        <w:rPr>
          <w:rFonts w:cs="Arial"/>
          <w:sz w:val="16"/>
          <w:szCs w:val="16"/>
        </w:rPr>
      </w:pPr>
    </w:p>
    <w:p w14:paraId="0F7C824E" w14:textId="77777777" w:rsidR="003D3E9A" w:rsidRPr="008270B7" w:rsidRDefault="003D3E9A" w:rsidP="008270B7">
      <w:pPr>
        <w:tabs>
          <w:tab w:val="left" w:pos="720"/>
        </w:tabs>
        <w:jc w:val="both"/>
        <w:rPr>
          <w:rFonts w:cs="Arial"/>
          <w:sz w:val="16"/>
          <w:szCs w:val="16"/>
        </w:rPr>
      </w:pPr>
      <w:r w:rsidRPr="008270B7">
        <w:rPr>
          <w:rFonts w:cs="Arial"/>
          <w:sz w:val="16"/>
          <w:szCs w:val="16"/>
        </w:rPr>
        <w:t>3.9.1. Control de la retención máxima por riesgo</w:t>
      </w:r>
    </w:p>
    <w:p w14:paraId="369F98A4" w14:textId="77777777" w:rsidR="003D3E9A" w:rsidRPr="00336BB2" w:rsidRDefault="003D3E9A" w:rsidP="008270B7">
      <w:pPr>
        <w:tabs>
          <w:tab w:val="left" w:pos="720"/>
        </w:tabs>
        <w:jc w:val="both"/>
        <w:rPr>
          <w:rFonts w:cs="Arial"/>
          <w:sz w:val="20"/>
        </w:rPr>
      </w:pPr>
    </w:p>
    <w:p w14:paraId="23AFAF29" w14:textId="77777777" w:rsidR="003D3E9A" w:rsidRPr="008270B7" w:rsidRDefault="003D3E9A" w:rsidP="008270B7">
      <w:pPr>
        <w:tabs>
          <w:tab w:val="left" w:pos="720"/>
        </w:tabs>
        <w:jc w:val="both"/>
        <w:rPr>
          <w:rFonts w:cs="Arial"/>
          <w:sz w:val="16"/>
          <w:szCs w:val="16"/>
        </w:rPr>
      </w:pPr>
      <w:r w:rsidRPr="008270B7">
        <w:rPr>
          <w:rStyle w:val="normaltextrun"/>
          <w:sz w:val="16"/>
          <w:szCs w:val="16"/>
          <w:shd w:val="clear" w:color="auto" w:fill="FFFFFF"/>
        </w:rPr>
        <w:t>Para efectos del cálculo de la retención neta de que trata el art</w:t>
      </w:r>
      <w:r w:rsidRPr="008270B7">
        <w:rPr>
          <w:rStyle w:val="normaltextrun"/>
          <w:rFonts w:ascii="Segoe UI" w:hAnsi="Segoe UI" w:cs="Segoe UI"/>
          <w:sz w:val="16"/>
          <w:szCs w:val="16"/>
          <w:shd w:val="clear" w:color="auto" w:fill="FFFFFF"/>
        </w:rPr>
        <w:t>ículo</w:t>
      </w:r>
      <w:r w:rsidRPr="008270B7">
        <w:rPr>
          <w:rStyle w:val="normaltextrun"/>
          <w:sz w:val="16"/>
          <w:szCs w:val="16"/>
          <w:shd w:val="clear" w:color="auto" w:fill="FFFFFF"/>
        </w:rPr>
        <w:t xml:space="preserve"> 2.31.1.3.1 del Decreto 2555 de 2010</w:t>
      </w:r>
      <w:r w:rsidRPr="008270B7">
        <w:rPr>
          <w:rFonts w:cs="Arial"/>
          <w:sz w:val="16"/>
          <w:szCs w:val="16"/>
        </w:rPr>
        <w:t xml:space="preserve">, las entidades aseguradoras y reaseguradoras deben dar cumplimiento a las siguientes instrucciones. </w:t>
      </w:r>
    </w:p>
    <w:p w14:paraId="25DF7ABC" w14:textId="77777777" w:rsidR="003D3E9A" w:rsidRPr="00336BB2" w:rsidRDefault="003D3E9A" w:rsidP="008270B7">
      <w:pPr>
        <w:jc w:val="both"/>
        <w:rPr>
          <w:rFonts w:cs="Arial"/>
          <w:sz w:val="20"/>
        </w:rPr>
      </w:pPr>
    </w:p>
    <w:p w14:paraId="097432AD" w14:textId="77777777" w:rsidR="003D3E9A" w:rsidRPr="008270B7" w:rsidRDefault="003D3E9A" w:rsidP="008270B7">
      <w:pPr>
        <w:jc w:val="both"/>
        <w:rPr>
          <w:rFonts w:cs="Arial"/>
          <w:sz w:val="16"/>
          <w:szCs w:val="16"/>
        </w:rPr>
      </w:pPr>
      <w:r w:rsidRPr="008270B7">
        <w:rPr>
          <w:rFonts w:cs="Arial"/>
          <w:sz w:val="16"/>
          <w:szCs w:val="16"/>
        </w:rPr>
        <w:t xml:space="preserve">Las entidades deben calcular el monto correspondiente al 10% del patrimonio técnico del trimestre inmediatamente anterior al mes en el cual se hace la respectiva valoración de la cartera vigente, expedición de una póliza, </w:t>
      </w:r>
      <w:proofErr w:type="gramStart"/>
      <w:r w:rsidRPr="008270B7">
        <w:rPr>
          <w:rFonts w:cs="Arial"/>
          <w:sz w:val="16"/>
          <w:szCs w:val="16"/>
        </w:rPr>
        <w:t>entrada en vigencia</w:t>
      </w:r>
      <w:proofErr w:type="gramEnd"/>
      <w:r w:rsidRPr="008270B7">
        <w:rPr>
          <w:rFonts w:cs="Arial"/>
          <w:sz w:val="16"/>
          <w:szCs w:val="16"/>
        </w:rPr>
        <w:t xml:space="preserve"> de una determinada cobertura, o modificación de pólizas vigentes, entre otros. Para efectos del cálculo de la retención neta, el valor del patrimonio técnico del trimestre corresponderá al monto del patrimonio técnico registrado al cierre del último mes disponible. A manera de ejemplo, para una operación realizada en el mes de agosto, se tomará como referencia el patrimonio técnico registrado para el último mes disponible del trimestre comprendido entre mayo, junio y julio.</w:t>
      </w:r>
    </w:p>
    <w:p w14:paraId="49C8C90D" w14:textId="77777777" w:rsidR="003D3E9A" w:rsidRPr="00336BB2" w:rsidRDefault="003D3E9A" w:rsidP="008270B7">
      <w:pPr>
        <w:tabs>
          <w:tab w:val="left" w:pos="720"/>
        </w:tabs>
        <w:jc w:val="both"/>
        <w:rPr>
          <w:rFonts w:cs="Arial"/>
          <w:sz w:val="20"/>
        </w:rPr>
      </w:pPr>
    </w:p>
    <w:p w14:paraId="36D5C606"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Las entidades deben calcular la retención neta por cada afianzado de forma independiente. La retención neta se determina como el monto de pérdida a cargo de la entidad deducidos los montos a cargo de los reaseguradores y coaseguradores que amparan las exposiciones en las coberturas vigentes en un escenario en el cual se afectan todas las pólizas de un mismo afianzado tanto individualmente como cuando es partícipe de una figura plural, y el monto a indemnizar de cada póliza corresponda al 100% del valor asegurado vigente al momento del cálculo. La retención neta se calculará de la siguiente manera: i) al monto del valor asegurado vigente se descuenta la responsabilidad a cargo de coaseguradores y los reaseguradores en los contratos de reaseguro proporcionales; </w:t>
      </w:r>
      <w:proofErr w:type="spellStart"/>
      <w:r w:rsidRPr="008270B7">
        <w:rPr>
          <w:rFonts w:cs="Arial"/>
          <w:sz w:val="16"/>
          <w:szCs w:val="16"/>
        </w:rPr>
        <w:t>ii</w:t>
      </w:r>
      <w:proofErr w:type="spellEnd"/>
      <w:r w:rsidRPr="008270B7">
        <w:rPr>
          <w:rFonts w:cs="Arial"/>
          <w:sz w:val="16"/>
          <w:szCs w:val="16"/>
        </w:rPr>
        <w:t xml:space="preserve">) del monto determinado anteriormente se deducen los montos a cargo de los reaseguradores en contratos de reaseguro no proporcionales en el escenario de pérdida descrito. Para efectos de computar los contratos de reaseguro no proporcionales, el valor máximo por </w:t>
      </w:r>
      <w:proofErr w:type="gramStart"/>
      <w:r w:rsidRPr="008270B7">
        <w:rPr>
          <w:rFonts w:cs="Arial"/>
          <w:sz w:val="16"/>
          <w:szCs w:val="16"/>
        </w:rPr>
        <w:t>siniestro,</w:t>
      </w:r>
      <w:proofErr w:type="gramEnd"/>
      <w:r w:rsidRPr="008270B7">
        <w:rPr>
          <w:rFonts w:cs="Arial"/>
          <w:sz w:val="16"/>
          <w:szCs w:val="16"/>
        </w:rPr>
        <w:t xml:space="preserve"> sea este entendido como afianzado, grupo económico o póliza según las condiciones del respectivo contrato, que se puede deducir, es el correspondiente al 20% del patrimonio técnico del trimestre inmediatamente anterior. El valor del patrimonio técnico del trimestre corresponde al valor previsto en el presente </w:t>
      </w:r>
      <w:proofErr w:type="spellStart"/>
      <w:r w:rsidRPr="008270B7">
        <w:rPr>
          <w:rFonts w:cs="Arial"/>
          <w:sz w:val="16"/>
          <w:szCs w:val="16"/>
        </w:rPr>
        <w:t>subnumeral</w:t>
      </w:r>
      <w:proofErr w:type="spellEnd"/>
      <w:r w:rsidRPr="008270B7">
        <w:rPr>
          <w:rFonts w:cs="Arial"/>
          <w:sz w:val="16"/>
          <w:szCs w:val="16"/>
        </w:rPr>
        <w:t xml:space="preserve">. </w:t>
      </w:r>
    </w:p>
    <w:p w14:paraId="421AA6E7" w14:textId="77777777" w:rsidR="003D3E9A" w:rsidRPr="008270B7" w:rsidRDefault="003D3E9A" w:rsidP="008270B7">
      <w:pPr>
        <w:jc w:val="both"/>
        <w:rPr>
          <w:rFonts w:cs="Arial"/>
          <w:sz w:val="16"/>
          <w:szCs w:val="16"/>
        </w:rPr>
      </w:pPr>
    </w:p>
    <w:p w14:paraId="18BA6AE6" w14:textId="77777777" w:rsidR="00813583" w:rsidRDefault="003D3E9A" w:rsidP="00813583">
      <w:pPr>
        <w:tabs>
          <w:tab w:val="left" w:pos="720"/>
          <w:tab w:val="left" w:pos="1064"/>
          <w:tab w:val="left" w:pos="2057"/>
        </w:tabs>
        <w:ind w:right="49"/>
        <w:jc w:val="both"/>
        <w:rPr>
          <w:rFonts w:cs="Arial"/>
          <w:sz w:val="16"/>
          <w:szCs w:val="16"/>
        </w:rPr>
      </w:pPr>
      <w:r w:rsidRPr="008270B7">
        <w:rPr>
          <w:rFonts w:cs="Arial"/>
          <w:sz w:val="16"/>
          <w:szCs w:val="16"/>
        </w:rPr>
        <w:t xml:space="preserve">No </w:t>
      </w:r>
      <w:proofErr w:type="gramStart"/>
      <w:r w:rsidRPr="008270B7">
        <w:rPr>
          <w:rFonts w:cs="Arial"/>
          <w:sz w:val="16"/>
          <w:szCs w:val="16"/>
        </w:rPr>
        <w:t>obstante</w:t>
      </w:r>
      <w:proofErr w:type="gramEnd"/>
      <w:r w:rsidRPr="008270B7">
        <w:rPr>
          <w:rFonts w:cs="Arial"/>
          <w:sz w:val="16"/>
          <w:szCs w:val="16"/>
        </w:rPr>
        <w:t xml:space="preserve"> lo anterior, de manera previa e individual las entidades pueden presentar para no objeción de la SFC, un modelo cuantitativo que permita establecer niveles diferentes de transferencia de riesgo para los programas de reaseguro en exceso de pérdida operativa por riesgo. Dicho modelo debe estar soportado en una nota técnica que describa, entre otros, la </w:t>
      </w:r>
      <w:r w:rsidRPr="008270B7">
        <w:rPr>
          <w:rFonts w:cs="Arial"/>
          <w:sz w:val="16"/>
          <w:szCs w:val="16"/>
          <w:lang w:val="es-CO"/>
        </w:rPr>
        <w:t>identificación de</w:t>
      </w:r>
      <w:r w:rsidRPr="008270B7">
        <w:rPr>
          <w:rFonts w:cs="Arial"/>
          <w:sz w:val="16"/>
          <w:szCs w:val="16"/>
        </w:rPr>
        <w:t xml:space="preserve"> los principios y elementos tenidos en cuenta para su elaboración, así como las hipótesis y demás información utilizada que pueda ser relevante para la sustentación de este. Cualquier ajuste o modificación del modelo debe ser sometido a consideración previa de la SFC. En todo caso, respecto de </w:t>
      </w:r>
    </w:p>
    <w:p w14:paraId="1CD2D657" w14:textId="77777777" w:rsidR="00813583" w:rsidRDefault="00813583">
      <w:pPr>
        <w:rPr>
          <w:rFonts w:cs="Arial"/>
          <w:sz w:val="16"/>
          <w:szCs w:val="16"/>
        </w:rPr>
      </w:pPr>
      <w:r>
        <w:rPr>
          <w:rFonts w:cs="Arial"/>
          <w:sz w:val="16"/>
          <w:szCs w:val="16"/>
        </w:rPr>
        <w:br w:type="page"/>
      </w:r>
    </w:p>
    <w:p w14:paraId="71DA942F" w14:textId="0D7E502F" w:rsidR="001D0986" w:rsidRDefault="003D3E9A" w:rsidP="00813583">
      <w:pPr>
        <w:tabs>
          <w:tab w:val="left" w:pos="720"/>
          <w:tab w:val="left" w:pos="1064"/>
          <w:tab w:val="left" w:pos="2057"/>
        </w:tabs>
        <w:ind w:right="49"/>
        <w:jc w:val="both"/>
        <w:rPr>
          <w:rFonts w:cs="Arial"/>
          <w:sz w:val="16"/>
          <w:szCs w:val="16"/>
        </w:rPr>
      </w:pPr>
      <w:r w:rsidRPr="008270B7">
        <w:rPr>
          <w:rFonts w:cs="Arial"/>
          <w:sz w:val="16"/>
          <w:szCs w:val="16"/>
        </w:rPr>
        <w:lastRenderedPageBreak/>
        <w:t xml:space="preserve">los contratos de reaseguro de exceso de pérdida operativa por riesgo, la entidad aseguradora debe mantener en todo momento un </w:t>
      </w:r>
      <w:proofErr w:type="spellStart"/>
      <w:r w:rsidRPr="008270B7">
        <w:rPr>
          <w:rFonts w:cs="Arial"/>
          <w:sz w:val="16"/>
          <w:szCs w:val="16"/>
        </w:rPr>
        <w:t>reinstalamento</w:t>
      </w:r>
      <w:proofErr w:type="spellEnd"/>
      <w:r w:rsidRPr="008270B7">
        <w:rPr>
          <w:rFonts w:cs="Arial"/>
          <w:sz w:val="16"/>
          <w:szCs w:val="16"/>
        </w:rPr>
        <w:t xml:space="preserve"> vigente que permita garantizar la continuidad de la cobertura.</w:t>
      </w:r>
    </w:p>
    <w:p w14:paraId="41D6D9F0" w14:textId="77777777" w:rsidR="001D0986" w:rsidRDefault="001D0986">
      <w:pPr>
        <w:rPr>
          <w:rFonts w:cs="Arial"/>
          <w:sz w:val="16"/>
          <w:szCs w:val="16"/>
        </w:rPr>
      </w:pPr>
      <w:r>
        <w:rPr>
          <w:rFonts w:cs="Arial"/>
          <w:sz w:val="16"/>
          <w:szCs w:val="16"/>
        </w:rPr>
        <w:br w:type="page"/>
      </w:r>
    </w:p>
    <w:p w14:paraId="0AF8FFE9" w14:textId="77777777" w:rsidR="003D3E9A" w:rsidRPr="008270B7" w:rsidRDefault="003D3E9A" w:rsidP="00813583">
      <w:pPr>
        <w:tabs>
          <w:tab w:val="left" w:pos="720"/>
          <w:tab w:val="left" w:pos="1064"/>
          <w:tab w:val="left" w:pos="2057"/>
        </w:tabs>
        <w:ind w:right="49"/>
        <w:jc w:val="both"/>
        <w:rPr>
          <w:rFonts w:cs="Arial"/>
          <w:sz w:val="16"/>
          <w:szCs w:val="16"/>
        </w:rPr>
      </w:pPr>
    </w:p>
    <w:p w14:paraId="6973C66F" w14:textId="77777777" w:rsidR="003D3E9A" w:rsidRPr="008270B7" w:rsidRDefault="003D3E9A" w:rsidP="008270B7">
      <w:pPr>
        <w:tabs>
          <w:tab w:val="left" w:pos="720"/>
        </w:tabs>
        <w:jc w:val="both"/>
        <w:rPr>
          <w:rFonts w:cs="Arial"/>
          <w:sz w:val="16"/>
          <w:szCs w:val="16"/>
        </w:rPr>
      </w:pPr>
      <w:r w:rsidRPr="008270B7">
        <w:rPr>
          <w:rFonts w:cs="Arial"/>
          <w:sz w:val="16"/>
          <w:szCs w:val="16"/>
        </w:rPr>
        <w:t xml:space="preserve">Para los fines del presente </w:t>
      </w:r>
      <w:proofErr w:type="spellStart"/>
      <w:r w:rsidRPr="008270B7">
        <w:rPr>
          <w:rFonts w:cs="Arial"/>
          <w:sz w:val="16"/>
          <w:szCs w:val="16"/>
        </w:rPr>
        <w:t>subnumeral</w:t>
      </w:r>
      <w:proofErr w:type="spellEnd"/>
      <w:r w:rsidRPr="008270B7">
        <w:rPr>
          <w:rFonts w:cs="Arial"/>
          <w:sz w:val="16"/>
          <w:szCs w:val="16"/>
        </w:rPr>
        <w:t xml:space="preserve"> se consideran afianzados: (i) los tomadores que no son figuras plurales o no hacen parte de figuras plurales; y (</w:t>
      </w:r>
      <w:proofErr w:type="spellStart"/>
      <w:r w:rsidRPr="008270B7">
        <w:rPr>
          <w:rFonts w:cs="Arial"/>
          <w:sz w:val="16"/>
          <w:szCs w:val="16"/>
        </w:rPr>
        <w:t>ii</w:t>
      </w:r>
      <w:proofErr w:type="spellEnd"/>
      <w:r w:rsidRPr="008270B7">
        <w:rPr>
          <w:rFonts w:cs="Arial"/>
          <w:sz w:val="16"/>
          <w:szCs w:val="16"/>
        </w:rPr>
        <w:t xml:space="preserve">) en el caso de pólizas cuyo tomador sea una figura plural, cada uno de los participantes de </w:t>
      </w:r>
      <w:proofErr w:type="gramStart"/>
      <w:r w:rsidRPr="008270B7">
        <w:rPr>
          <w:rFonts w:cs="Arial"/>
          <w:sz w:val="16"/>
          <w:szCs w:val="16"/>
        </w:rPr>
        <w:t>la misma</w:t>
      </w:r>
      <w:proofErr w:type="gramEnd"/>
      <w:r w:rsidRPr="008270B7">
        <w:rPr>
          <w:rFonts w:cs="Arial"/>
          <w:sz w:val="16"/>
          <w:szCs w:val="16"/>
        </w:rPr>
        <w:t>. Se entenderá por figuras plurales los consorcios, uniones temporales y cualquier otro tipo de esquema contractual o legal que permita la colaboración de varias personas naturales o jurídicas con el fin de suscribir y ejecutar uno o varios contratos.</w:t>
      </w:r>
    </w:p>
    <w:p w14:paraId="199077CE" w14:textId="77777777" w:rsidR="003D3E9A" w:rsidRPr="008270B7" w:rsidRDefault="003D3E9A" w:rsidP="008270B7">
      <w:pPr>
        <w:tabs>
          <w:tab w:val="left" w:pos="720"/>
          <w:tab w:val="left" w:pos="1064"/>
          <w:tab w:val="left" w:pos="2057"/>
        </w:tabs>
        <w:ind w:right="49"/>
        <w:jc w:val="both"/>
        <w:rPr>
          <w:rFonts w:cs="Arial"/>
          <w:sz w:val="16"/>
          <w:szCs w:val="16"/>
        </w:rPr>
      </w:pPr>
    </w:p>
    <w:p w14:paraId="5650C764" w14:textId="77777777" w:rsidR="003D3E9A" w:rsidRPr="008270B7" w:rsidRDefault="003D3E9A" w:rsidP="008270B7">
      <w:pPr>
        <w:tabs>
          <w:tab w:val="left" w:pos="720"/>
        </w:tabs>
        <w:jc w:val="both"/>
        <w:rPr>
          <w:rFonts w:cs="Arial"/>
          <w:sz w:val="16"/>
          <w:szCs w:val="16"/>
        </w:rPr>
      </w:pPr>
      <w:r w:rsidRPr="008270B7">
        <w:rPr>
          <w:rFonts w:cs="Arial"/>
          <w:sz w:val="16"/>
          <w:szCs w:val="16"/>
        </w:rPr>
        <w:t>En todo caso, en la definición de afianzado deben incluirse los miembros del grupo económico al cual pertenece el afianzado para el cual se realiza el cálculo, dependiendo de las condiciones de interdependencia de los miembros del grupo y la materialidad de la exposición que representan las acumulaciones de riesgo, según el criterio profesional de la entidad aseguradora, determinado tomando en cuenta, entre otros, las pólizas suscritas con los miembros del grupo económico y las condiciones de los contratos de reaseguro.</w:t>
      </w:r>
    </w:p>
    <w:p w14:paraId="73FE31F3" w14:textId="77777777" w:rsidR="003D3E9A" w:rsidRPr="008270B7" w:rsidRDefault="003D3E9A" w:rsidP="008270B7">
      <w:pPr>
        <w:tabs>
          <w:tab w:val="left" w:pos="720"/>
        </w:tabs>
        <w:jc w:val="both"/>
        <w:rPr>
          <w:rFonts w:cs="Arial"/>
          <w:sz w:val="16"/>
          <w:szCs w:val="16"/>
        </w:rPr>
      </w:pPr>
    </w:p>
    <w:p w14:paraId="79CF2352" w14:textId="77777777" w:rsidR="003D3E9A" w:rsidRPr="008270B7" w:rsidRDefault="003D3E9A" w:rsidP="008270B7">
      <w:pPr>
        <w:tabs>
          <w:tab w:val="left" w:pos="720"/>
          <w:tab w:val="left" w:pos="1064"/>
          <w:tab w:val="left" w:pos="2057"/>
        </w:tabs>
        <w:ind w:right="49"/>
        <w:jc w:val="both"/>
        <w:rPr>
          <w:rFonts w:cs="Arial"/>
          <w:sz w:val="16"/>
          <w:szCs w:val="16"/>
        </w:rPr>
      </w:pPr>
      <w:r w:rsidRPr="008270B7">
        <w:rPr>
          <w:rFonts w:cs="Arial"/>
          <w:sz w:val="16"/>
          <w:szCs w:val="16"/>
        </w:rPr>
        <w:t>Cuando se trate de pólizas cuyos tomadores sean figuras plurales en las cuales las obligaciones derivadas del contrato amparado se rijan por la figura de la responsabilidad solidaria, para el cálculo de la retención neta las entidades deben tomar por cada miembro de la figura el 100% del valor asegurado de la póliza vigente a la fecha de cálculo, y no el monto correspondiente a la participación de cada miembro en la figura plural.</w:t>
      </w:r>
    </w:p>
    <w:p w14:paraId="1A8AFE4C" w14:textId="77777777" w:rsidR="003D3E9A" w:rsidRPr="008270B7" w:rsidRDefault="003D3E9A" w:rsidP="008270B7">
      <w:pPr>
        <w:tabs>
          <w:tab w:val="left" w:pos="720"/>
          <w:tab w:val="left" w:pos="1064"/>
          <w:tab w:val="left" w:pos="2057"/>
        </w:tabs>
        <w:ind w:right="49"/>
        <w:jc w:val="both"/>
        <w:rPr>
          <w:rFonts w:cs="Arial"/>
          <w:sz w:val="16"/>
          <w:szCs w:val="16"/>
        </w:rPr>
      </w:pPr>
    </w:p>
    <w:p w14:paraId="614A66AD" w14:textId="77777777" w:rsidR="003D3E9A" w:rsidRPr="008270B7" w:rsidRDefault="003D3E9A" w:rsidP="008270B7">
      <w:pPr>
        <w:tabs>
          <w:tab w:val="left" w:pos="720"/>
          <w:tab w:val="left" w:pos="1064"/>
          <w:tab w:val="left" w:pos="2057"/>
        </w:tabs>
        <w:ind w:right="49"/>
        <w:jc w:val="both"/>
        <w:rPr>
          <w:rFonts w:cs="Arial"/>
          <w:sz w:val="16"/>
          <w:szCs w:val="16"/>
        </w:rPr>
      </w:pPr>
      <w:r w:rsidRPr="008270B7">
        <w:rPr>
          <w:rFonts w:cs="Arial"/>
          <w:sz w:val="16"/>
          <w:szCs w:val="16"/>
        </w:rPr>
        <w:t>Las entidades deben reportar mensualmente dentro del término establecido para el reporte de los estados financieros intermedios y de fin de ejercicio, la información relacionada con las garantías únicas de cumplimiento a favor de entidades estatales, cuyo valor asegurado supere el 10% del patrimonio técnico del trimestre inmediatamente anterior, en el reporte dispuesto para tal fin por la Superintendencia Financiera de Colombia. Para tal efecto, deben diligenciar la proforma F3000- 85 Cesión de reaseguro - Garantía única de cumplimiento.</w:t>
      </w:r>
    </w:p>
    <w:p w14:paraId="7E51D61B" w14:textId="77777777" w:rsidR="003D3E9A" w:rsidRPr="008270B7" w:rsidRDefault="003D3E9A" w:rsidP="008270B7">
      <w:pPr>
        <w:tabs>
          <w:tab w:val="left" w:pos="720"/>
          <w:tab w:val="left" w:pos="1064"/>
          <w:tab w:val="left" w:pos="2057"/>
        </w:tabs>
        <w:ind w:right="49"/>
        <w:jc w:val="both"/>
        <w:rPr>
          <w:rFonts w:cs="Arial"/>
          <w:sz w:val="16"/>
          <w:szCs w:val="16"/>
        </w:rPr>
      </w:pPr>
    </w:p>
    <w:p w14:paraId="248FD327" w14:textId="77777777" w:rsidR="003D3E9A" w:rsidRPr="008270B7" w:rsidRDefault="003D3E9A" w:rsidP="008270B7">
      <w:pPr>
        <w:tabs>
          <w:tab w:val="left" w:pos="720"/>
          <w:tab w:val="left" w:pos="1064"/>
          <w:tab w:val="left" w:pos="2057"/>
        </w:tabs>
        <w:ind w:right="49"/>
        <w:jc w:val="both"/>
        <w:rPr>
          <w:rFonts w:cs="Arial"/>
          <w:sz w:val="16"/>
          <w:szCs w:val="16"/>
        </w:rPr>
      </w:pPr>
      <w:r w:rsidRPr="008270B7">
        <w:rPr>
          <w:rFonts w:cs="Arial"/>
          <w:sz w:val="16"/>
          <w:szCs w:val="16"/>
        </w:rPr>
        <w:t xml:space="preserve">Las entidades deben implementar mecanismos, procedimientos y controles para garantizar el cumplimiento permanente del límite establecido en el artículo 2.31.1.3.1 del Decreto 2555 de 2010 y demás normas que lo modifiquen, adicionen o sustituyan. Las entidades deben mantener a disposición de la SFC los cálculos realizados e informar dentro de los 10 días hábiles siguientes, cuando el monto de la retención neta sea superior al 10% del patrimonio técnico en los términos del presente </w:t>
      </w:r>
      <w:proofErr w:type="spellStart"/>
      <w:r w:rsidRPr="008270B7">
        <w:rPr>
          <w:rFonts w:cs="Arial"/>
          <w:sz w:val="16"/>
          <w:szCs w:val="16"/>
        </w:rPr>
        <w:t>subnumeral</w:t>
      </w:r>
      <w:proofErr w:type="spellEnd"/>
      <w:r w:rsidRPr="008270B7">
        <w:rPr>
          <w:rFonts w:cs="Arial"/>
          <w:sz w:val="16"/>
          <w:szCs w:val="16"/>
        </w:rPr>
        <w:t>. En este mismo plazo, la entidad deberá informar a la SFC las medidas que adoptará para subsanar el exceso en la retención neta, así como el cronograma para implementar dichas medidas.</w:t>
      </w:r>
    </w:p>
    <w:p w14:paraId="3CA4570F" w14:textId="77777777" w:rsidR="003D3E9A" w:rsidRPr="008270B7" w:rsidRDefault="003D3E9A" w:rsidP="008270B7">
      <w:pPr>
        <w:pStyle w:val="Ttulo2"/>
        <w:jc w:val="both"/>
        <w:rPr>
          <w:b w:val="0"/>
          <w:bCs w:val="0"/>
          <w:szCs w:val="16"/>
        </w:rPr>
      </w:pPr>
      <w:bookmarkStart w:id="23" w:name="_Toc269950175"/>
    </w:p>
    <w:p w14:paraId="07ACB6C4" w14:textId="77777777" w:rsidR="003D3E9A" w:rsidRPr="008270B7" w:rsidRDefault="003D3E9A" w:rsidP="008270B7">
      <w:pPr>
        <w:pStyle w:val="Ttulo2"/>
        <w:jc w:val="both"/>
        <w:rPr>
          <w:b w:val="0"/>
          <w:bCs w:val="0"/>
          <w:szCs w:val="16"/>
        </w:rPr>
      </w:pPr>
      <w:r w:rsidRPr="008270B7">
        <w:rPr>
          <w:b w:val="0"/>
          <w:bCs w:val="0"/>
          <w:szCs w:val="16"/>
        </w:rPr>
        <w:t>3.10. Reglas especiales aplicables al ramo de seguro de rentas voluntarias</w:t>
      </w:r>
      <w:bookmarkEnd w:id="23"/>
      <w:r w:rsidRPr="008270B7">
        <w:rPr>
          <w:b w:val="0"/>
          <w:bCs w:val="0"/>
          <w:szCs w:val="16"/>
        </w:rPr>
        <w:t xml:space="preserve"> </w:t>
      </w:r>
    </w:p>
    <w:p w14:paraId="07EC284A" w14:textId="77777777" w:rsidR="003D3E9A" w:rsidRPr="008270B7" w:rsidRDefault="003D3E9A" w:rsidP="008270B7">
      <w:pPr>
        <w:tabs>
          <w:tab w:val="left" w:pos="720"/>
          <w:tab w:val="left" w:pos="1064"/>
          <w:tab w:val="left" w:pos="2057"/>
        </w:tabs>
        <w:ind w:right="80"/>
        <w:jc w:val="both"/>
        <w:rPr>
          <w:rFonts w:cs="Arial"/>
          <w:sz w:val="11"/>
          <w:szCs w:val="11"/>
        </w:rPr>
      </w:pPr>
    </w:p>
    <w:p w14:paraId="09D2635F" w14:textId="77777777" w:rsidR="003D3E9A" w:rsidRPr="008270B7" w:rsidRDefault="003D3E9A" w:rsidP="008270B7">
      <w:pPr>
        <w:tabs>
          <w:tab w:val="left" w:pos="720"/>
          <w:tab w:val="left" w:pos="1064"/>
          <w:tab w:val="left" w:pos="2057"/>
        </w:tabs>
        <w:ind w:right="80"/>
        <w:jc w:val="both"/>
        <w:rPr>
          <w:rFonts w:cs="Arial"/>
          <w:sz w:val="16"/>
          <w:szCs w:val="16"/>
        </w:rPr>
      </w:pPr>
      <w:r w:rsidRPr="008270B7">
        <w:rPr>
          <w:rFonts w:cs="Arial"/>
          <w:sz w:val="16"/>
          <w:szCs w:val="16"/>
        </w:rPr>
        <w:t>En este ramo se pueden ofrecer y comercializar aquellos productos que reúnan las siguientes características:</w:t>
      </w:r>
    </w:p>
    <w:p w14:paraId="673AE7BC" w14:textId="77777777" w:rsidR="003D3E9A" w:rsidRPr="008270B7" w:rsidRDefault="003D3E9A" w:rsidP="008270B7">
      <w:pPr>
        <w:tabs>
          <w:tab w:val="left" w:pos="720"/>
          <w:tab w:val="left" w:pos="1064"/>
          <w:tab w:val="left" w:pos="2057"/>
        </w:tabs>
        <w:ind w:right="80"/>
        <w:jc w:val="both"/>
        <w:rPr>
          <w:rFonts w:cs="Arial"/>
          <w:sz w:val="16"/>
          <w:szCs w:val="16"/>
        </w:rPr>
      </w:pPr>
    </w:p>
    <w:p w14:paraId="59D9084A" w14:textId="77777777" w:rsidR="003D3E9A" w:rsidRPr="008270B7" w:rsidRDefault="003D3E9A" w:rsidP="008270B7">
      <w:pPr>
        <w:tabs>
          <w:tab w:val="left" w:pos="720"/>
          <w:tab w:val="left" w:pos="1064"/>
          <w:tab w:val="left" w:pos="2057"/>
        </w:tabs>
        <w:ind w:right="80"/>
        <w:rPr>
          <w:rFonts w:cs="Arial"/>
          <w:sz w:val="16"/>
          <w:szCs w:val="16"/>
        </w:rPr>
      </w:pPr>
      <w:r w:rsidRPr="008270B7">
        <w:rPr>
          <w:rFonts w:cs="Arial"/>
          <w:sz w:val="16"/>
          <w:szCs w:val="16"/>
        </w:rPr>
        <w:t>3.10.1. Que su estructura técnica actuarial corresponda a una renta contingente.</w:t>
      </w:r>
    </w:p>
    <w:p w14:paraId="761FD56C" w14:textId="77777777" w:rsidR="003D3E9A" w:rsidRPr="008270B7" w:rsidRDefault="003D3E9A" w:rsidP="008270B7">
      <w:pPr>
        <w:tabs>
          <w:tab w:val="left" w:pos="720"/>
          <w:tab w:val="left" w:pos="1064"/>
          <w:tab w:val="left" w:pos="2057"/>
        </w:tabs>
        <w:ind w:left="708" w:right="80" w:hanging="708"/>
        <w:jc w:val="both"/>
        <w:rPr>
          <w:rFonts w:cs="Arial"/>
          <w:sz w:val="16"/>
          <w:szCs w:val="16"/>
        </w:rPr>
      </w:pPr>
    </w:p>
    <w:p w14:paraId="3E4B8892" w14:textId="77777777" w:rsidR="003D3E9A" w:rsidRPr="008270B7" w:rsidRDefault="003D3E9A" w:rsidP="008270B7">
      <w:pPr>
        <w:tabs>
          <w:tab w:val="left" w:pos="720"/>
          <w:tab w:val="left" w:pos="1064"/>
          <w:tab w:val="left" w:pos="2057"/>
        </w:tabs>
        <w:ind w:left="708" w:right="80" w:hanging="708"/>
        <w:jc w:val="both"/>
        <w:rPr>
          <w:rFonts w:cs="Arial"/>
          <w:sz w:val="16"/>
          <w:szCs w:val="16"/>
          <w:lang w:val="es-MX"/>
        </w:rPr>
      </w:pPr>
      <w:r w:rsidRPr="008270B7">
        <w:rPr>
          <w:rFonts w:cs="Arial"/>
          <w:sz w:val="16"/>
          <w:szCs w:val="16"/>
        </w:rPr>
        <w:t>3.10.2. Que el amparo básico consista en el pago de una mesada o beneficio periódico.</w:t>
      </w:r>
    </w:p>
    <w:p w14:paraId="3DB65666" w14:textId="77777777" w:rsidR="00A35509" w:rsidRPr="008270B7" w:rsidRDefault="00A35509" w:rsidP="008270B7">
      <w:pPr>
        <w:tabs>
          <w:tab w:val="left" w:pos="1064"/>
          <w:tab w:val="left" w:pos="2057"/>
        </w:tabs>
        <w:ind w:right="80"/>
        <w:jc w:val="both"/>
        <w:rPr>
          <w:rFonts w:cs="Arial"/>
          <w:sz w:val="16"/>
          <w:szCs w:val="16"/>
          <w:lang w:val="es-MX"/>
        </w:rPr>
      </w:pPr>
    </w:p>
    <w:p w14:paraId="22E35E71" w14:textId="07AAC78E" w:rsidR="00A35509" w:rsidRPr="008270B7" w:rsidRDefault="00A35509" w:rsidP="008270B7">
      <w:pPr>
        <w:tabs>
          <w:tab w:val="left" w:pos="1064"/>
          <w:tab w:val="left" w:pos="2057"/>
        </w:tabs>
        <w:ind w:right="80"/>
        <w:jc w:val="both"/>
        <w:rPr>
          <w:rFonts w:cs="Arial"/>
          <w:sz w:val="16"/>
          <w:szCs w:val="16"/>
        </w:rPr>
        <w:sectPr w:rsidR="00A35509" w:rsidRPr="008270B7" w:rsidSect="003D3E9A">
          <w:headerReference w:type="first" r:id="rId86"/>
          <w:footerReference w:type="first" r:id="rId87"/>
          <w:pgSz w:w="12240" w:h="18720" w:code="257"/>
          <w:pgMar w:top="1417" w:right="1701" w:bottom="1417" w:left="1701" w:header="709" w:footer="865" w:gutter="0"/>
          <w:pgNumType w:start="28"/>
          <w:cols w:space="708"/>
          <w:titlePg/>
          <w:docGrid w:linePitch="360"/>
        </w:sectPr>
      </w:pPr>
    </w:p>
    <w:p w14:paraId="6E22807C" w14:textId="77777777" w:rsidR="00A35509" w:rsidRPr="008270B7" w:rsidRDefault="00A35509" w:rsidP="008270B7">
      <w:pPr>
        <w:tabs>
          <w:tab w:val="left" w:pos="1064"/>
          <w:tab w:val="left" w:pos="2057"/>
        </w:tabs>
        <w:ind w:right="80"/>
        <w:jc w:val="both"/>
        <w:rPr>
          <w:rFonts w:cs="Arial"/>
          <w:sz w:val="16"/>
          <w:szCs w:val="16"/>
        </w:rPr>
      </w:pPr>
      <w:r w:rsidRPr="008270B7">
        <w:rPr>
          <w:rFonts w:cs="Arial"/>
          <w:sz w:val="16"/>
          <w:szCs w:val="16"/>
        </w:rPr>
        <w:lastRenderedPageBreak/>
        <w:t xml:space="preserve">3.10.3. Que el pago de cada mesada o beneficio periódico se efectúe, si se presenta la contingencia prevista en el contrato, respecto del o </w:t>
      </w:r>
      <w:proofErr w:type="gramStart"/>
      <w:r w:rsidRPr="008270B7">
        <w:rPr>
          <w:rFonts w:cs="Arial"/>
          <w:sz w:val="16"/>
          <w:szCs w:val="16"/>
        </w:rPr>
        <w:t>los asegurado</w:t>
      </w:r>
      <w:proofErr w:type="gramEnd"/>
      <w:r w:rsidRPr="008270B7">
        <w:rPr>
          <w:rFonts w:cs="Arial"/>
          <w:sz w:val="16"/>
          <w:szCs w:val="16"/>
        </w:rPr>
        <w:t>(s), salvo para la operación de renta vitalicia inmobiliaria de que trata el Título 7 del Libro 31 de la Parte 2 del Decreto 2555 de 2010.</w:t>
      </w:r>
    </w:p>
    <w:p w14:paraId="3CA80DC2" w14:textId="77777777" w:rsidR="00A35509" w:rsidRPr="008270B7" w:rsidRDefault="00A35509" w:rsidP="008270B7">
      <w:pPr>
        <w:tabs>
          <w:tab w:val="left" w:pos="1064"/>
          <w:tab w:val="left" w:pos="2057"/>
        </w:tabs>
        <w:ind w:right="80"/>
        <w:jc w:val="both"/>
        <w:rPr>
          <w:rFonts w:cs="Arial"/>
          <w:sz w:val="16"/>
          <w:szCs w:val="16"/>
        </w:rPr>
      </w:pPr>
    </w:p>
    <w:p w14:paraId="162496EF" w14:textId="77777777" w:rsidR="00A35509" w:rsidRPr="008270B7" w:rsidRDefault="00A35509" w:rsidP="008270B7">
      <w:pPr>
        <w:tabs>
          <w:tab w:val="left" w:pos="142"/>
          <w:tab w:val="left" w:pos="1064"/>
          <w:tab w:val="left" w:pos="2057"/>
        </w:tabs>
        <w:ind w:right="80"/>
        <w:jc w:val="both"/>
        <w:rPr>
          <w:rFonts w:cs="Arial"/>
          <w:sz w:val="16"/>
          <w:szCs w:val="16"/>
        </w:rPr>
      </w:pPr>
      <w:r w:rsidRPr="008270B7">
        <w:rPr>
          <w:rFonts w:cs="Arial"/>
          <w:sz w:val="16"/>
          <w:szCs w:val="16"/>
        </w:rPr>
        <w:t xml:space="preserve">3.10.4. Que su explotación u ofrecimiento no sea factible en alguno de los ramos de seguros definidos en el </w:t>
      </w:r>
      <w:proofErr w:type="spellStart"/>
      <w:r w:rsidRPr="008270B7">
        <w:rPr>
          <w:rFonts w:cs="Arial"/>
          <w:sz w:val="16"/>
          <w:szCs w:val="16"/>
        </w:rPr>
        <w:t>subnumeral</w:t>
      </w:r>
      <w:proofErr w:type="spellEnd"/>
      <w:r w:rsidRPr="008270B7">
        <w:rPr>
          <w:rFonts w:cs="Arial"/>
          <w:sz w:val="16"/>
          <w:szCs w:val="16"/>
        </w:rPr>
        <w:t xml:space="preserve"> 1.1 de este Capítulo.</w:t>
      </w:r>
    </w:p>
    <w:p w14:paraId="14BEFEEE" w14:textId="77777777" w:rsidR="00A35509" w:rsidRPr="008270B7" w:rsidRDefault="00A35509" w:rsidP="008270B7">
      <w:pPr>
        <w:tabs>
          <w:tab w:val="left" w:pos="142"/>
          <w:tab w:val="left" w:pos="1064"/>
          <w:tab w:val="left" w:pos="2057"/>
        </w:tabs>
        <w:ind w:right="80"/>
        <w:jc w:val="both"/>
        <w:rPr>
          <w:rFonts w:cs="Arial"/>
          <w:sz w:val="16"/>
          <w:szCs w:val="16"/>
        </w:rPr>
      </w:pPr>
    </w:p>
    <w:p w14:paraId="7E46BB76" w14:textId="77777777" w:rsidR="00A35509" w:rsidRPr="008270B7" w:rsidRDefault="00A35509" w:rsidP="008270B7">
      <w:pPr>
        <w:tabs>
          <w:tab w:val="left" w:pos="142"/>
          <w:tab w:val="left" w:pos="1064"/>
          <w:tab w:val="left" w:pos="2057"/>
        </w:tabs>
        <w:ind w:right="80"/>
        <w:jc w:val="both"/>
        <w:rPr>
          <w:rFonts w:cs="Arial"/>
          <w:sz w:val="16"/>
          <w:szCs w:val="16"/>
        </w:rPr>
      </w:pPr>
      <w:r w:rsidRPr="008270B7">
        <w:rPr>
          <w:rFonts w:cs="Arial"/>
          <w:sz w:val="16"/>
          <w:szCs w:val="16"/>
        </w:rPr>
        <w:t>3.10.5. Únicamente para el caso de la operación de renta vitalicia inmobiliaria de que trata el Título 7 del Libro 31 de la Parte 2 del Decreto 2555 de 2010, el pago periódico se efectúa hasta que se presenta el fallecimiento del último de los beneficiarios definidos en el contrato a cambio de la transferencia de la nuda propiedad de un bien inmueble en los términos del Título 7 del Libro 31 de la Parte 2 del Decreto 2555 de 2010.</w:t>
      </w:r>
    </w:p>
    <w:p w14:paraId="7A92973F" w14:textId="77777777" w:rsidR="00A35509" w:rsidRPr="008270B7" w:rsidRDefault="00A35509" w:rsidP="008270B7">
      <w:pPr>
        <w:tabs>
          <w:tab w:val="left" w:pos="720"/>
          <w:tab w:val="left" w:pos="1064"/>
          <w:tab w:val="left" w:pos="2057"/>
        </w:tabs>
        <w:ind w:right="356"/>
        <w:jc w:val="both"/>
        <w:rPr>
          <w:rFonts w:cs="Arial"/>
          <w:sz w:val="16"/>
          <w:szCs w:val="16"/>
        </w:rPr>
      </w:pPr>
    </w:p>
    <w:p w14:paraId="64C155FA" w14:textId="77777777" w:rsidR="00A35509" w:rsidRPr="008270B7" w:rsidRDefault="00A35509" w:rsidP="008270B7">
      <w:pPr>
        <w:tabs>
          <w:tab w:val="left" w:pos="720"/>
          <w:tab w:val="left" w:pos="1064"/>
          <w:tab w:val="left" w:pos="2057"/>
        </w:tabs>
        <w:ind w:right="356"/>
        <w:jc w:val="both"/>
        <w:rPr>
          <w:rFonts w:cs="Arial"/>
          <w:sz w:val="16"/>
          <w:szCs w:val="16"/>
        </w:rPr>
      </w:pPr>
      <w:r w:rsidRPr="008270B7">
        <w:rPr>
          <w:rFonts w:cs="Arial"/>
          <w:sz w:val="16"/>
          <w:szCs w:val="16"/>
        </w:rPr>
        <w:t xml:space="preserve">Al producto de que trata el presente </w:t>
      </w:r>
      <w:proofErr w:type="spellStart"/>
      <w:r w:rsidRPr="008270B7">
        <w:rPr>
          <w:rFonts w:cs="Arial"/>
          <w:sz w:val="16"/>
          <w:szCs w:val="16"/>
        </w:rPr>
        <w:t>subnumeral</w:t>
      </w:r>
      <w:proofErr w:type="spellEnd"/>
      <w:r w:rsidRPr="008270B7">
        <w:rPr>
          <w:rFonts w:cs="Arial"/>
          <w:sz w:val="16"/>
          <w:szCs w:val="16"/>
        </w:rPr>
        <w:t>, le serán aplicables los siguientes requisitos:</w:t>
      </w:r>
    </w:p>
    <w:p w14:paraId="680C4F07" w14:textId="77777777" w:rsidR="00A35509" w:rsidRPr="008270B7" w:rsidRDefault="00A35509" w:rsidP="008270B7">
      <w:pPr>
        <w:tabs>
          <w:tab w:val="left" w:pos="720"/>
          <w:tab w:val="left" w:pos="1064"/>
          <w:tab w:val="left" w:pos="2057"/>
        </w:tabs>
        <w:ind w:right="356"/>
        <w:jc w:val="both"/>
        <w:rPr>
          <w:rFonts w:cs="Arial"/>
          <w:sz w:val="16"/>
          <w:szCs w:val="16"/>
        </w:rPr>
      </w:pPr>
    </w:p>
    <w:p w14:paraId="3B40BF5F"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3.10.5.1. Gestión del riesgo de liquidez. Las entidades aseguradoras que ofrezcan este producto deben garantizar que sus posiciones actuales y futuras sobre la liquidez son adecuadas para respaldar el pago periódico contractual de la renta vitalicia inmobiliaria, incluso en situaciones de tensión.</w:t>
      </w:r>
    </w:p>
    <w:p w14:paraId="3DFA74B5" w14:textId="77777777" w:rsidR="00A35509" w:rsidRPr="008270B7" w:rsidRDefault="00A35509" w:rsidP="008270B7">
      <w:pPr>
        <w:tabs>
          <w:tab w:val="left" w:pos="720"/>
          <w:tab w:val="left" w:pos="1064"/>
          <w:tab w:val="left" w:pos="2057"/>
        </w:tabs>
        <w:ind w:right="49"/>
        <w:jc w:val="both"/>
        <w:rPr>
          <w:rFonts w:cs="Arial"/>
          <w:sz w:val="16"/>
          <w:szCs w:val="16"/>
        </w:rPr>
      </w:pPr>
    </w:p>
    <w:p w14:paraId="4C5C0B63"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Las entidades aseguradoras deben diseñar e implementar unas políticas, procedimientos, metodologías y límites que les permitan identificar, medir, monitorear y controlar el riesgo de liquidez inherente al desarrollo de este producto, cuando sus reservas técnicas estén siendo respaldadas por bienes raíces no productivos. Estos elementos deben estar integrados con la gestión de riesgos de la entidad y ser acordes con el perfil y apetito de riesgo, el plan de negocio, la estrategia de riesgos, la naturaleza, el tamaño y la complejidad de las actividades que desarrolle la entidad con este producto.</w:t>
      </w:r>
    </w:p>
    <w:p w14:paraId="022DA152" w14:textId="77777777" w:rsidR="00A35509" w:rsidRPr="008270B7" w:rsidRDefault="00A35509" w:rsidP="008270B7">
      <w:pPr>
        <w:tabs>
          <w:tab w:val="left" w:pos="720"/>
          <w:tab w:val="left" w:pos="1064"/>
          <w:tab w:val="left" w:pos="2057"/>
        </w:tabs>
        <w:ind w:right="49"/>
        <w:jc w:val="both"/>
        <w:rPr>
          <w:rFonts w:cs="Arial"/>
          <w:sz w:val="16"/>
          <w:szCs w:val="16"/>
        </w:rPr>
      </w:pPr>
    </w:p>
    <w:p w14:paraId="2B927DCA"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Los elementos descritos anteriormente deben estar debidamente documentados, aprobados por la junta directiva de la entidad y estar a disposición de la SFC para su consulta.</w:t>
      </w:r>
    </w:p>
    <w:p w14:paraId="2DF06E4D" w14:textId="77777777" w:rsidR="00A35509" w:rsidRPr="008270B7" w:rsidRDefault="00A35509" w:rsidP="008270B7">
      <w:pPr>
        <w:tabs>
          <w:tab w:val="left" w:pos="720"/>
          <w:tab w:val="left" w:pos="1064"/>
          <w:tab w:val="left" w:pos="2057"/>
        </w:tabs>
        <w:ind w:right="356"/>
        <w:jc w:val="both"/>
        <w:rPr>
          <w:rFonts w:cs="Arial"/>
          <w:sz w:val="16"/>
          <w:szCs w:val="16"/>
        </w:rPr>
      </w:pPr>
    </w:p>
    <w:p w14:paraId="4A2957D8" w14:textId="77777777" w:rsidR="00A35509" w:rsidRDefault="00A35509" w:rsidP="009257CF">
      <w:pPr>
        <w:pBdr>
          <w:left w:val="single" w:sz="4" w:space="4" w:color="auto"/>
        </w:pBdr>
        <w:tabs>
          <w:tab w:val="left" w:pos="720"/>
          <w:tab w:val="left" w:pos="1064"/>
          <w:tab w:val="left" w:pos="2057"/>
        </w:tabs>
        <w:ind w:right="356"/>
        <w:jc w:val="both"/>
        <w:rPr>
          <w:rFonts w:cs="Arial"/>
          <w:sz w:val="16"/>
          <w:szCs w:val="16"/>
        </w:rPr>
      </w:pPr>
      <w:bookmarkStart w:id="24" w:name="_Toc269950176"/>
    </w:p>
    <w:p w14:paraId="22A4C6E3"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2DF8DEDC"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3A1F13AF"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01BF1206"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536EBAEF"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3E578027" w14:textId="77777777" w:rsidR="009257CF" w:rsidRDefault="009257CF" w:rsidP="009257CF">
      <w:pPr>
        <w:pBdr>
          <w:left w:val="single" w:sz="4" w:space="4" w:color="auto"/>
        </w:pBdr>
        <w:tabs>
          <w:tab w:val="left" w:pos="720"/>
          <w:tab w:val="left" w:pos="1064"/>
          <w:tab w:val="left" w:pos="2057"/>
        </w:tabs>
        <w:ind w:right="356"/>
        <w:jc w:val="both"/>
        <w:rPr>
          <w:rFonts w:cs="Arial"/>
          <w:sz w:val="16"/>
          <w:szCs w:val="16"/>
        </w:rPr>
      </w:pPr>
    </w:p>
    <w:p w14:paraId="41779F6B" w14:textId="77777777" w:rsidR="009257CF" w:rsidRPr="008270B7" w:rsidRDefault="009257CF" w:rsidP="008270B7">
      <w:pPr>
        <w:tabs>
          <w:tab w:val="left" w:pos="720"/>
          <w:tab w:val="left" w:pos="1064"/>
          <w:tab w:val="left" w:pos="2057"/>
        </w:tabs>
        <w:ind w:right="356"/>
        <w:jc w:val="both"/>
        <w:rPr>
          <w:rFonts w:cs="Arial"/>
          <w:sz w:val="16"/>
          <w:szCs w:val="16"/>
        </w:rPr>
      </w:pPr>
    </w:p>
    <w:p w14:paraId="2F1BD76E"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3.10.5.3. Los criterios de admisibilidad y de valoración de los activos no productivos de que trata el numeral 3.10 del art. 2.31.3.1.2 del Decreto 2555 de 2010 corresponderán a los determinados en los </w:t>
      </w:r>
      <w:proofErr w:type="spellStart"/>
      <w:r w:rsidRPr="008270B7">
        <w:rPr>
          <w:rFonts w:cs="Arial"/>
          <w:sz w:val="16"/>
          <w:szCs w:val="16"/>
        </w:rPr>
        <w:t>subnumerales</w:t>
      </w:r>
      <w:proofErr w:type="spellEnd"/>
      <w:r w:rsidRPr="008270B7">
        <w:rPr>
          <w:rFonts w:cs="Arial"/>
          <w:sz w:val="16"/>
          <w:szCs w:val="16"/>
        </w:rPr>
        <w:t xml:space="preserve"> 2.2.6.1 (inciso final) y 2.2.6.3.7 del presente Capítulo.</w:t>
      </w:r>
    </w:p>
    <w:p w14:paraId="5A246842" w14:textId="77777777" w:rsidR="00A35509" w:rsidRPr="008270B7" w:rsidRDefault="00A35509" w:rsidP="008270B7">
      <w:pPr>
        <w:tabs>
          <w:tab w:val="left" w:pos="720"/>
          <w:tab w:val="left" w:pos="1064"/>
          <w:tab w:val="left" w:pos="2057"/>
        </w:tabs>
        <w:ind w:right="356"/>
        <w:jc w:val="both"/>
        <w:rPr>
          <w:rFonts w:cs="Arial"/>
          <w:sz w:val="16"/>
          <w:szCs w:val="16"/>
        </w:rPr>
      </w:pPr>
    </w:p>
    <w:p w14:paraId="41C088E3"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3.10.5.4. Opción de retracto </w:t>
      </w:r>
    </w:p>
    <w:p w14:paraId="12504F4C" w14:textId="77777777" w:rsidR="00A35509" w:rsidRPr="008270B7" w:rsidRDefault="00A35509" w:rsidP="008270B7">
      <w:pPr>
        <w:tabs>
          <w:tab w:val="left" w:pos="720"/>
          <w:tab w:val="left" w:pos="1064"/>
          <w:tab w:val="left" w:pos="2057"/>
        </w:tabs>
        <w:ind w:right="49"/>
        <w:jc w:val="both"/>
        <w:rPr>
          <w:rFonts w:cs="Arial"/>
          <w:sz w:val="16"/>
          <w:szCs w:val="16"/>
        </w:rPr>
      </w:pPr>
    </w:p>
    <w:p w14:paraId="2DFEE07D"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Las entidades aseguradoras tienen el deber de ofrecer al tomador la posibilidad de pactar una opción de retracto para las modalidades de renta vitalicia inmobiliaria descritas en el artículo 2.31.7.1.2 del Decreto 2555 de 2010, de conformidad con el parágrafo 1 del mismo artículo. </w:t>
      </w:r>
    </w:p>
    <w:p w14:paraId="25F6F8FF" w14:textId="77777777" w:rsidR="00A35509" w:rsidRPr="008270B7" w:rsidRDefault="00A35509" w:rsidP="008270B7">
      <w:pPr>
        <w:tabs>
          <w:tab w:val="left" w:pos="720"/>
          <w:tab w:val="left" w:pos="1064"/>
          <w:tab w:val="left" w:pos="2057"/>
        </w:tabs>
        <w:ind w:right="49"/>
        <w:jc w:val="both"/>
        <w:rPr>
          <w:rFonts w:cs="Arial"/>
          <w:sz w:val="16"/>
          <w:szCs w:val="16"/>
        </w:rPr>
      </w:pPr>
    </w:p>
    <w:p w14:paraId="0EBB2375"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3.10.5.4.1. Período de retracto</w:t>
      </w:r>
    </w:p>
    <w:p w14:paraId="3C4C0AA8" w14:textId="77777777" w:rsidR="00A35509" w:rsidRPr="008270B7" w:rsidRDefault="00A35509" w:rsidP="008270B7">
      <w:pPr>
        <w:tabs>
          <w:tab w:val="left" w:pos="720"/>
          <w:tab w:val="left" w:pos="1064"/>
          <w:tab w:val="left" w:pos="2057"/>
        </w:tabs>
        <w:ind w:right="49"/>
        <w:jc w:val="both"/>
        <w:rPr>
          <w:rFonts w:cs="Arial"/>
          <w:sz w:val="16"/>
          <w:szCs w:val="16"/>
        </w:rPr>
      </w:pPr>
    </w:p>
    <w:p w14:paraId="4C41AFFD"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Con base en sus políticas de suscripción, las entidades aseguradoras deben definir el período de retracto aplicable, el cual no podrá ser inferior a seis (6) meses contados a partir de la fecha de inicio de vigencia de la renta vitalicia inmobiliaria. </w:t>
      </w:r>
    </w:p>
    <w:p w14:paraId="0F095867" w14:textId="77777777" w:rsidR="00A35509" w:rsidRPr="008270B7" w:rsidRDefault="00A35509" w:rsidP="008270B7">
      <w:pPr>
        <w:tabs>
          <w:tab w:val="left" w:pos="720"/>
          <w:tab w:val="left" w:pos="1064"/>
          <w:tab w:val="left" w:pos="2057"/>
        </w:tabs>
        <w:ind w:right="49"/>
        <w:jc w:val="both"/>
        <w:rPr>
          <w:rFonts w:cs="Arial"/>
          <w:sz w:val="16"/>
          <w:szCs w:val="16"/>
        </w:rPr>
      </w:pPr>
    </w:p>
    <w:p w14:paraId="74911293"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En todo caso, en el evento en que el tomador presente la solicitud de retracto faltando menos de treinta (30) días calendario para el vencimiento del período de retracto, la entidad aseguradora extenderá dicho período hasta la fecha en que se venza el plazo que tiene el tomador para ratificar la opción de retracto en los términos del siguiente </w:t>
      </w:r>
      <w:proofErr w:type="spellStart"/>
      <w:r w:rsidRPr="008270B7">
        <w:rPr>
          <w:rFonts w:cs="Arial"/>
          <w:sz w:val="16"/>
          <w:szCs w:val="16"/>
        </w:rPr>
        <w:t>subnumeral</w:t>
      </w:r>
      <w:proofErr w:type="spellEnd"/>
      <w:r w:rsidRPr="008270B7">
        <w:rPr>
          <w:rFonts w:cs="Arial"/>
          <w:sz w:val="16"/>
          <w:szCs w:val="16"/>
        </w:rPr>
        <w:t>.</w:t>
      </w:r>
    </w:p>
    <w:p w14:paraId="7C828337" w14:textId="77777777" w:rsidR="00A35509" w:rsidRPr="008270B7" w:rsidRDefault="00A35509" w:rsidP="008270B7">
      <w:pPr>
        <w:tabs>
          <w:tab w:val="left" w:pos="720"/>
          <w:tab w:val="left" w:pos="1064"/>
          <w:tab w:val="left" w:pos="2057"/>
        </w:tabs>
        <w:ind w:right="49"/>
        <w:jc w:val="both"/>
        <w:rPr>
          <w:rFonts w:cs="Arial"/>
          <w:sz w:val="16"/>
          <w:szCs w:val="16"/>
        </w:rPr>
      </w:pPr>
    </w:p>
    <w:p w14:paraId="35F0D1E3"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3.10.5.4.2. Ejercicio de la opción de retracto</w:t>
      </w:r>
    </w:p>
    <w:p w14:paraId="72B0C382" w14:textId="77777777" w:rsidR="00A35509" w:rsidRPr="008270B7" w:rsidRDefault="00A35509" w:rsidP="008270B7">
      <w:pPr>
        <w:tabs>
          <w:tab w:val="left" w:pos="720"/>
          <w:tab w:val="left" w:pos="1064"/>
          <w:tab w:val="left" w:pos="2057"/>
        </w:tabs>
        <w:ind w:right="49"/>
        <w:jc w:val="both"/>
        <w:rPr>
          <w:rFonts w:cs="Arial"/>
          <w:sz w:val="16"/>
          <w:szCs w:val="16"/>
        </w:rPr>
      </w:pPr>
    </w:p>
    <w:p w14:paraId="02494E76"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Dentro del período de retracto establecido en los términos del </w:t>
      </w:r>
      <w:proofErr w:type="spellStart"/>
      <w:r w:rsidRPr="008270B7">
        <w:rPr>
          <w:rFonts w:cs="Arial"/>
          <w:sz w:val="16"/>
          <w:szCs w:val="16"/>
        </w:rPr>
        <w:t>subnumeral</w:t>
      </w:r>
      <w:proofErr w:type="spellEnd"/>
      <w:r w:rsidRPr="008270B7">
        <w:rPr>
          <w:rFonts w:cs="Arial"/>
          <w:sz w:val="16"/>
          <w:szCs w:val="16"/>
        </w:rPr>
        <w:t xml:space="preserve"> anterior, las entidades aseguradoras deben recibir cualquier manifestación de intención del ejercicio de retracto realizada por el tomador. Ante esto, estas entidades deben presentar al tomador una estimación del monto de los costos, gastos y comisiones causados a la fecha, </w:t>
      </w:r>
      <w:r w:rsidRPr="008270B7">
        <w:rPr>
          <w:rFonts w:cs="Arial"/>
          <w:color w:val="000000" w:themeColor="text1"/>
          <w:sz w:val="16"/>
          <w:szCs w:val="16"/>
        </w:rPr>
        <w:t xml:space="preserve">así como la forma de calcular los gastos a la fecha efectiva de la transferencia de la nuda propiedad al tomador, </w:t>
      </w:r>
      <w:r w:rsidRPr="008270B7">
        <w:rPr>
          <w:rFonts w:cs="Arial"/>
          <w:sz w:val="16"/>
          <w:szCs w:val="16"/>
        </w:rPr>
        <w:t>dentro de los cinco (5) días hábiles siguientes a la recepción de la solicitud por parte del tomador. La estimación de dichos costos se debe realizar conforme a lo establecido en el parágrafo 1 del artículo 2.31.7.1.2 del Decreto 2555 de 2010.</w:t>
      </w:r>
    </w:p>
    <w:p w14:paraId="5153BEA3" w14:textId="77777777" w:rsidR="00A35509" w:rsidRPr="008270B7" w:rsidRDefault="00A35509" w:rsidP="008270B7">
      <w:pPr>
        <w:tabs>
          <w:tab w:val="left" w:pos="720"/>
          <w:tab w:val="left" w:pos="1064"/>
          <w:tab w:val="left" w:pos="2057"/>
        </w:tabs>
        <w:ind w:right="49"/>
        <w:jc w:val="both"/>
        <w:rPr>
          <w:rFonts w:cs="Arial"/>
          <w:sz w:val="16"/>
          <w:szCs w:val="16"/>
        </w:rPr>
      </w:pPr>
    </w:p>
    <w:p w14:paraId="14C54EC8"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La entidad aseguradora debe otorgar al tomador, como mínimo, un plazo de treinta (30) días calendario para que éste le notifique si continúa con el ejercicio de la opción de retracto. Dicho plazo empieza a contar desde la fecha de recepción del documento que contiene la estimación del monto de los costos, gastos y comisiones.</w:t>
      </w:r>
    </w:p>
    <w:p w14:paraId="706C17C9" w14:textId="77777777" w:rsidR="00A35509" w:rsidRPr="008270B7" w:rsidRDefault="00A35509" w:rsidP="008270B7">
      <w:pPr>
        <w:tabs>
          <w:tab w:val="left" w:pos="720"/>
          <w:tab w:val="left" w:pos="1064"/>
          <w:tab w:val="left" w:pos="2057"/>
        </w:tabs>
        <w:ind w:right="49"/>
        <w:jc w:val="both"/>
        <w:rPr>
          <w:rFonts w:cs="Arial"/>
          <w:sz w:val="16"/>
          <w:szCs w:val="16"/>
        </w:rPr>
      </w:pPr>
    </w:p>
    <w:p w14:paraId="7DD95EA5"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 xml:space="preserve">En el evento en que el tomador le notifique a la entidad aseguradora que se ratifica con el ejercicio de la opción de retracto, la entidad aseguradora debe actualizar la estimación aportada inicialmente con los gastos que se causaron dentro del término que transcurrió luego de presentada la estimación inicial, y deberá acordar junto con el tomador el plazo dentro del cual se va a realizar el pago total y la transferencia de la nuda propiedad de vuelta al tomador. En dicho acuerdo, las entidades aseguradoras pueden proponerle al tomador pactar la suspensión del pago de las rentas dentro del período comprendido desde la fecha del acuerdo hasta la fecha estimada del pago total por parte del tomador y la transferencia de la nuda propiedad. </w:t>
      </w:r>
    </w:p>
    <w:p w14:paraId="1710DE0C" w14:textId="77777777" w:rsidR="00A35509" w:rsidRPr="008270B7" w:rsidRDefault="00A35509" w:rsidP="008270B7">
      <w:pPr>
        <w:tabs>
          <w:tab w:val="left" w:pos="720"/>
          <w:tab w:val="left" w:pos="1064"/>
          <w:tab w:val="left" w:pos="2057"/>
        </w:tabs>
        <w:ind w:right="49"/>
        <w:jc w:val="both"/>
        <w:rPr>
          <w:rFonts w:cs="Arial"/>
          <w:sz w:val="16"/>
          <w:szCs w:val="16"/>
        </w:rPr>
      </w:pPr>
    </w:p>
    <w:p w14:paraId="5F2D5D21" w14:textId="77777777" w:rsidR="00A35509" w:rsidRPr="008270B7" w:rsidRDefault="00A35509" w:rsidP="008270B7">
      <w:pPr>
        <w:tabs>
          <w:tab w:val="left" w:pos="720"/>
          <w:tab w:val="left" w:pos="1064"/>
          <w:tab w:val="left" w:pos="2057"/>
        </w:tabs>
        <w:ind w:right="49"/>
        <w:jc w:val="both"/>
        <w:rPr>
          <w:rFonts w:cs="Arial"/>
          <w:sz w:val="16"/>
          <w:szCs w:val="16"/>
        </w:rPr>
      </w:pPr>
      <w:r w:rsidRPr="008270B7">
        <w:rPr>
          <w:rFonts w:cs="Arial"/>
          <w:sz w:val="16"/>
          <w:szCs w:val="16"/>
        </w:rPr>
        <w:t>3.10.5.5. Políticas de suscripción: Las entidades aseguradoras deben definir en sus políticas de suscripción, entre otras, las clases de renta vitalicia inmobiliaria que pretenden comercializar y su mercado objetivo, para lo cual deberán realizar un análisis objetivo.</w:t>
      </w:r>
    </w:p>
    <w:p w14:paraId="7D2340CE" w14:textId="423DFD5B" w:rsidR="00A35509" w:rsidRPr="008270B7" w:rsidRDefault="00A35509" w:rsidP="008270B7">
      <w:pPr>
        <w:tabs>
          <w:tab w:val="left" w:pos="720"/>
          <w:tab w:val="left" w:pos="1064"/>
          <w:tab w:val="left" w:pos="2057"/>
        </w:tabs>
        <w:ind w:right="49"/>
        <w:jc w:val="both"/>
        <w:rPr>
          <w:rFonts w:cs="Arial"/>
          <w:sz w:val="16"/>
          <w:szCs w:val="16"/>
        </w:rPr>
        <w:sectPr w:rsidR="00A35509" w:rsidRPr="008270B7" w:rsidSect="00B269D7">
          <w:headerReference w:type="default" r:id="rId88"/>
          <w:footerReference w:type="default" r:id="rId89"/>
          <w:pgSz w:w="12240" w:h="18720" w:code="257"/>
          <w:pgMar w:top="1417" w:right="1701" w:bottom="1417" w:left="1701" w:header="709" w:footer="865" w:gutter="0"/>
          <w:pgNumType w:start="31"/>
          <w:cols w:space="708"/>
          <w:docGrid w:linePitch="360"/>
        </w:sectPr>
      </w:pPr>
    </w:p>
    <w:p w14:paraId="050B28B1" w14:textId="77777777" w:rsidR="00A35509" w:rsidRPr="008270B7" w:rsidRDefault="00A35509" w:rsidP="008270B7">
      <w:pPr>
        <w:jc w:val="both"/>
        <w:rPr>
          <w:rFonts w:cs="Arial"/>
          <w:sz w:val="16"/>
          <w:szCs w:val="16"/>
        </w:rPr>
      </w:pPr>
      <w:r w:rsidRPr="008270B7">
        <w:rPr>
          <w:rFonts w:cs="Arial"/>
          <w:sz w:val="16"/>
          <w:szCs w:val="16"/>
        </w:rPr>
        <w:lastRenderedPageBreak/>
        <w:t>3.10.5.6. Deberes de las entidades aseguradoras en el ofrecimiento de la renta vitalicia inmobiliaria.</w:t>
      </w:r>
    </w:p>
    <w:p w14:paraId="1824B185" w14:textId="77777777" w:rsidR="00A35509" w:rsidRPr="008270B7" w:rsidRDefault="00A35509" w:rsidP="008270B7">
      <w:pPr>
        <w:jc w:val="both"/>
        <w:rPr>
          <w:rFonts w:cs="Arial"/>
          <w:sz w:val="16"/>
          <w:szCs w:val="16"/>
        </w:rPr>
      </w:pPr>
    </w:p>
    <w:p w14:paraId="52BAFD07" w14:textId="77777777" w:rsidR="00A35509" w:rsidRPr="008270B7" w:rsidRDefault="00A35509" w:rsidP="008270B7">
      <w:pPr>
        <w:tabs>
          <w:tab w:val="left" w:pos="189"/>
        </w:tabs>
        <w:jc w:val="both"/>
        <w:rPr>
          <w:rFonts w:cs="Arial"/>
          <w:sz w:val="16"/>
          <w:szCs w:val="16"/>
          <w:lang w:val="es-CO"/>
        </w:rPr>
      </w:pPr>
      <w:r w:rsidRPr="008270B7">
        <w:rPr>
          <w:rFonts w:cs="Arial"/>
          <w:sz w:val="16"/>
          <w:szCs w:val="16"/>
          <w:lang w:val="es-CO"/>
        </w:rPr>
        <w:t>Las entidades aseguradoras deben diseñar e implementar políticas, procesos y procedimientos para asegurar el cumplimiento de los deberes establecidos en el artículo 2.31.7.2.1 del Decreto 2555 de 2010 para el ofrecimiento de la renta vitalicia inmobiliaria.</w:t>
      </w:r>
    </w:p>
    <w:p w14:paraId="6A89DAD8" w14:textId="77777777" w:rsidR="00A35509" w:rsidRPr="008270B7" w:rsidRDefault="00A35509" w:rsidP="008270B7">
      <w:pPr>
        <w:tabs>
          <w:tab w:val="left" w:pos="189"/>
        </w:tabs>
        <w:jc w:val="both"/>
        <w:rPr>
          <w:rFonts w:cs="Arial"/>
          <w:sz w:val="16"/>
          <w:szCs w:val="16"/>
          <w:lang w:val="es-CO"/>
        </w:rPr>
      </w:pPr>
    </w:p>
    <w:p w14:paraId="459D807D" w14:textId="77777777" w:rsidR="00A35509" w:rsidRPr="008270B7" w:rsidRDefault="00A35509" w:rsidP="008270B7">
      <w:pPr>
        <w:tabs>
          <w:tab w:val="left" w:pos="189"/>
        </w:tabs>
        <w:jc w:val="both"/>
        <w:rPr>
          <w:rFonts w:cs="Arial"/>
          <w:sz w:val="16"/>
          <w:szCs w:val="16"/>
          <w:lang w:val="es-CO"/>
        </w:rPr>
      </w:pPr>
      <w:r w:rsidRPr="008270B7">
        <w:rPr>
          <w:rFonts w:cs="Arial"/>
          <w:sz w:val="16"/>
          <w:szCs w:val="16"/>
          <w:lang w:val="es-CO"/>
        </w:rPr>
        <w:t xml:space="preserve">Para el efecto, las entidades deben elaborar, actualizar y poner en práctica un manual para el ofrecimiento de este producto, el cual será de obligatorio cumplimiento para todas las personas involucradas. Este manual debe ser aprobado por la junta directiva y su contenido mínimo debe cumplir con lo señalado en el presente </w:t>
      </w:r>
      <w:proofErr w:type="spellStart"/>
      <w:r w:rsidRPr="008270B7">
        <w:rPr>
          <w:rFonts w:cs="Arial"/>
          <w:sz w:val="16"/>
          <w:szCs w:val="16"/>
          <w:lang w:val="es-CO"/>
        </w:rPr>
        <w:t>subnumeral</w:t>
      </w:r>
      <w:proofErr w:type="spellEnd"/>
      <w:r w:rsidRPr="008270B7">
        <w:rPr>
          <w:rFonts w:cs="Arial"/>
          <w:sz w:val="16"/>
          <w:szCs w:val="16"/>
          <w:lang w:val="es-CO"/>
        </w:rPr>
        <w:t xml:space="preserve">. Adicionalmente, este manual debe estar a disposición de la SFC para su consulta en cualquier momento.  </w:t>
      </w:r>
    </w:p>
    <w:p w14:paraId="46570417" w14:textId="77777777" w:rsidR="00A35509" w:rsidRPr="008270B7" w:rsidRDefault="00A35509" w:rsidP="008270B7">
      <w:pPr>
        <w:tabs>
          <w:tab w:val="left" w:pos="189"/>
        </w:tabs>
        <w:jc w:val="both"/>
        <w:rPr>
          <w:iCs/>
          <w:sz w:val="16"/>
          <w:szCs w:val="16"/>
          <w:lang w:val="es-CO"/>
        </w:rPr>
      </w:pPr>
    </w:p>
    <w:p w14:paraId="1344C78A" w14:textId="77777777" w:rsidR="00A35509" w:rsidRPr="008270B7" w:rsidRDefault="00A35509" w:rsidP="008270B7">
      <w:pPr>
        <w:tabs>
          <w:tab w:val="left" w:pos="189"/>
        </w:tabs>
        <w:jc w:val="both"/>
        <w:rPr>
          <w:rFonts w:cs="Arial"/>
          <w:sz w:val="16"/>
          <w:szCs w:val="16"/>
          <w:lang w:val="es-CO"/>
        </w:rPr>
      </w:pPr>
      <w:bookmarkStart w:id="25" w:name="_Hlk10094062"/>
      <w:r w:rsidRPr="008270B7">
        <w:rPr>
          <w:rFonts w:cs="Arial"/>
          <w:sz w:val="16"/>
          <w:szCs w:val="16"/>
        </w:rPr>
        <w:t xml:space="preserve">3.10.5.6.1. </w:t>
      </w:r>
      <w:r w:rsidRPr="008270B7">
        <w:rPr>
          <w:iCs/>
          <w:sz w:val="16"/>
          <w:szCs w:val="16"/>
          <w:lang w:val="es-CO"/>
        </w:rPr>
        <w:t>Políticas y procedimientos generales</w:t>
      </w:r>
      <w:bookmarkEnd w:id="25"/>
    </w:p>
    <w:p w14:paraId="50A7C329" w14:textId="77777777" w:rsidR="00A35509" w:rsidRPr="008270B7" w:rsidRDefault="00A35509" w:rsidP="008270B7">
      <w:pPr>
        <w:tabs>
          <w:tab w:val="left" w:pos="189"/>
        </w:tabs>
        <w:jc w:val="both"/>
        <w:rPr>
          <w:iCs/>
          <w:sz w:val="16"/>
          <w:szCs w:val="16"/>
          <w:lang w:val="es-CO"/>
        </w:rPr>
      </w:pPr>
    </w:p>
    <w:p w14:paraId="4EF6E76B" w14:textId="77777777" w:rsidR="00A35509" w:rsidRPr="008270B7" w:rsidRDefault="00A35509" w:rsidP="008270B7">
      <w:pPr>
        <w:tabs>
          <w:tab w:val="left" w:pos="189"/>
        </w:tabs>
        <w:jc w:val="both"/>
        <w:rPr>
          <w:rFonts w:cs="Arial"/>
          <w:sz w:val="16"/>
          <w:szCs w:val="16"/>
          <w:lang w:val="es-CO"/>
        </w:rPr>
      </w:pPr>
      <w:r w:rsidRPr="008270B7">
        <w:rPr>
          <w:rFonts w:cs="Arial"/>
          <w:sz w:val="16"/>
          <w:szCs w:val="16"/>
          <w:lang w:val="es-CO"/>
        </w:rPr>
        <w:t>El manual para el ofrecimiento de la renta vitalicia inmobiliaria debe contener, como mínimo:</w:t>
      </w:r>
    </w:p>
    <w:p w14:paraId="7118C072" w14:textId="77777777" w:rsidR="00A35509" w:rsidRPr="008270B7" w:rsidRDefault="00A35509" w:rsidP="008270B7">
      <w:pPr>
        <w:tabs>
          <w:tab w:val="left" w:pos="189"/>
        </w:tabs>
        <w:jc w:val="both"/>
        <w:rPr>
          <w:rFonts w:cs="Arial"/>
          <w:sz w:val="16"/>
          <w:szCs w:val="16"/>
          <w:lang w:val="es-CO"/>
        </w:rPr>
      </w:pPr>
    </w:p>
    <w:p w14:paraId="5D9BC7AE"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3.10.5.6.1.1. </w:t>
      </w:r>
      <w:r w:rsidRPr="008270B7">
        <w:rPr>
          <w:rFonts w:cs="Arial"/>
          <w:sz w:val="16"/>
          <w:szCs w:val="16"/>
          <w:lang w:val="es-CO"/>
        </w:rPr>
        <w:t>Las áreas, comités y/o funcionarios responsables del cumplimiento de los deberes de información, documentación, mejor resultado y asesoría, detallando sus funciones, deberes y responsabilidades en concordancia con los procesos y procedimientos establecidos en el manual.</w:t>
      </w:r>
    </w:p>
    <w:p w14:paraId="3C483833" w14:textId="77777777" w:rsidR="00A35509" w:rsidRPr="008270B7" w:rsidRDefault="00A35509" w:rsidP="008270B7">
      <w:pPr>
        <w:tabs>
          <w:tab w:val="left" w:pos="189"/>
        </w:tabs>
        <w:jc w:val="both"/>
        <w:rPr>
          <w:rFonts w:cs="Arial"/>
          <w:sz w:val="16"/>
          <w:szCs w:val="16"/>
          <w:lang w:val="es-CO"/>
        </w:rPr>
      </w:pPr>
    </w:p>
    <w:p w14:paraId="39A0DC23"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3.10.5.6.1.2. </w:t>
      </w:r>
      <w:r w:rsidRPr="008270B7">
        <w:rPr>
          <w:rFonts w:cs="Arial"/>
          <w:sz w:val="16"/>
          <w:szCs w:val="16"/>
          <w:lang w:val="es-CO"/>
        </w:rPr>
        <w:t>Los mecanismos para el monitoreo, y criterios para la evaluación del cumplimiento de los deberes y las políticas y procedimientos en el manual, estableciendo su periodicidad.</w:t>
      </w:r>
    </w:p>
    <w:p w14:paraId="6B29FBDC" w14:textId="77777777" w:rsidR="00A35509" w:rsidRPr="008270B7" w:rsidRDefault="00A35509" w:rsidP="008270B7">
      <w:pPr>
        <w:tabs>
          <w:tab w:val="left" w:pos="189"/>
        </w:tabs>
        <w:jc w:val="both"/>
        <w:rPr>
          <w:rFonts w:cs="Arial"/>
          <w:sz w:val="16"/>
          <w:szCs w:val="16"/>
          <w:lang w:val="es-CO"/>
        </w:rPr>
      </w:pPr>
    </w:p>
    <w:p w14:paraId="44B01C42"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3.10.5.6.1.3. </w:t>
      </w:r>
      <w:r w:rsidRPr="008270B7">
        <w:rPr>
          <w:rFonts w:cs="Arial"/>
          <w:sz w:val="16"/>
          <w:szCs w:val="16"/>
          <w:lang w:val="es-CO"/>
        </w:rPr>
        <w:t>Las políticas y procedimientos para la identificación, revelación y gestión de conflictos de interés que se puedan presentar en el ofrecimiento de la renta vitalicia inmobiliaria.</w:t>
      </w:r>
    </w:p>
    <w:p w14:paraId="3338FB33" w14:textId="77777777" w:rsidR="00A35509" w:rsidRPr="008270B7" w:rsidRDefault="00A35509" w:rsidP="008270B7">
      <w:pPr>
        <w:rPr>
          <w:rFonts w:cs="Arial"/>
          <w:sz w:val="16"/>
          <w:szCs w:val="16"/>
          <w:lang w:val="es-CO"/>
        </w:rPr>
      </w:pPr>
    </w:p>
    <w:p w14:paraId="2C09AA98"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3.10.5.6.1.4. </w:t>
      </w:r>
      <w:r w:rsidRPr="008270B7">
        <w:rPr>
          <w:rFonts w:cs="Arial"/>
          <w:sz w:val="16"/>
          <w:szCs w:val="16"/>
          <w:lang w:val="es-CO"/>
        </w:rPr>
        <w:t>Las políticas que garanticen que los esquemas de remuneración o incentivos de los funcionarios que intervienen en el proceso de asesoría en el ofrecimiento del producto salvaguardan el mejor interés del cliente y el cumplimiento de los deberes de la entidad aseguradora.</w:t>
      </w:r>
    </w:p>
    <w:p w14:paraId="09E2659C" w14:textId="77777777" w:rsidR="00A35509" w:rsidRPr="008270B7" w:rsidRDefault="00A35509" w:rsidP="008270B7">
      <w:pPr>
        <w:rPr>
          <w:rFonts w:cs="Arial"/>
          <w:sz w:val="16"/>
          <w:szCs w:val="16"/>
          <w:lang w:val="es-CO"/>
        </w:rPr>
      </w:pPr>
    </w:p>
    <w:p w14:paraId="4D60C3B9"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3.10.5.6.1.5. </w:t>
      </w:r>
      <w:r w:rsidRPr="008270B7">
        <w:rPr>
          <w:rFonts w:cs="Arial"/>
          <w:sz w:val="16"/>
          <w:szCs w:val="16"/>
          <w:lang w:val="es-CO"/>
        </w:rPr>
        <w:t>Las políticas para garantizar que los funcionarios que participen en el ofrecimiento de la renta vitalicia inmobiliaria estén capacitados para el efecto, y conozcan y entiendan el manual para el ofrecimiento y las consecuencias del incumplimiento de éste.</w:t>
      </w:r>
    </w:p>
    <w:p w14:paraId="144176F0" w14:textId="77777777" w:rsidR="00A35509" w:rsidRPr="008270B7" w:rsidRDefault="00A35509" w:rsidP="008270B7">
      <w:pPr>
        <w:tabs>
          <w:tab w:val="left" w:pos="189"/>
        </w:tabs>
        <w:jc w:val="both"/>
        <w:rPr>
          <w:rFonts w:cs="Arial"/>
          <w:sz w:val="16"/>
          <w:szCs w:val="16"/>
          <w:lang w:val="es-CO"/>
        </w:rPr>
      </w:pPr>
    </w:p>
    <w:p w14:paraId="2E7C89CA"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3.10.5.6.1.6 </w:t>
      </w:r>
      <w:r w:rsidRPr="008270B7">
        <w:rPr>
          <w:rFonts w:cs="Arial"/>
          <w:sz w:val="16"/>
          <w:szCs w:val="16"/>
          <w:lang w:val="es-CO"/>
        </w:rPr>
        <w:t>Las políticas para definir los convenios a suscribir con los intermediarios de seguros, que se encuentren sujetos a supervisión permanente por parte de esta Superintendencia según lo establecido en el artículo 2.31.7.2.2. del Decreto 2555 de 2010, los cuales deben contener las reglas aplicables para el suministro oportuno de la asesoría al potencial cliente exclusivamente por parte de la entidad aseguradora.</w:t>
      </w:r>
    </w:p>
    <w:p w14:paraId="7ABED17D" w14:textId="77777777" w:rsidR="00A35509" w:rsidRPr="008270B7" w:rsidRDefault="00A35509" w:rsidP="008270B7">
      <w:pPr>
        <w:tabs>
          <w:tab w:val="left" w:pos="189"/>
        </w:tabs>
        <w:jc w:val="both"/>
        <w:rPr>
          <w:rFonts w:cs="Arial"/>
          <w:sz w:val="16"/>
          <w:szCs w:val="16"/>
          <w:lang w:val="es-CO"/>
        </w:rPr>
      </w:pPr>
    </w:p>
    <w:p w14:paraId="057790B7" w14:textId="77777777" w:rsidR="00A35509" w:rsidRPr="008270B7" w:rsidRDefault="00A35509" w:rsidP="008270B7">
      <w:pPr>
        <w:tabs>
          <w:tab w:val="left" w:pos="189"/>
        </w:tabs>
        <w:jc w:val="both"/>
        <w:rPr>
          <w:iCs/>
          <w:sz w:val="16"/>
          <w:szCs w:val="16"/>
          <w:lang w:val="es-CO"/>
        </w:rPr>
      </w:pPr>
      <w:bookmarkStart w:id="26" w:name="_Hlk10094070"/>
      <w:r w:rsidRPr="008270B7">
        <w:rPr>
          <w:rFonts w:cs="Arial"/>
          <w:sz w:val="16"/>
          <w:szCs w:val="16"/>
        </w:rPr>
        <w:t xml:space="preserve">3.10.5.6.2. </w:t>
      </w:r>
      <w:r w:rsidRPr="008270B7">
        <w:rPr>
          <w:iCs/>
          <w:sz w:val="16"/>
          <w:szCs w:val="16"/>
          <w:lang w:val="es-CO"/>
        </w:rPr>
        <w:t>Políticas y procedimientos específicos</w:t>
      </w:r>
    </w:p>
    <w:bookmarkEnd w:id="26"/>
    <w:p w14:paraId="56F769F6" w14:textId="77777777" w:rsidR="00A35509" w:rsidRPr="008270B7" w:rsidRDefault="00A35509" w:rsidP="008270B7">
      <w:pPr>
        <w:tabs>
          <w:tab w:val="left" w:pos="189"/>
        </w:tabs>
        <w:jc w:val="both"/>
        <w:rPr>
          <w:rFonts w:cs="Arial"/>
          <w:sz w:val="16"/>
          <w:szCs w:val="16"/>
          <w:lang w:val="es-CO"/>
        </w:rPr>
      </w:pPr>
    </w:p>
    <w:p w14:paraId="6CA8E605" w14:textId="77777777" w:rsidR="00A35509" w:rsidRPr="008270B7" w:rsidRDefault="00A35509" w:rsidP="008270B7">
      <w:pPr>
        <w:tabs>
          <w:tab w:val="left" w:pos="189"/>
        </w:tabs>
        <w:jc w:val="both"/>
        <w:rPr>
          <w:rFonts w:cs="Arial"/>
          <w:sz w:val="16"/>
          <w:szCs w:val="16"/>
          <w:lang w:val="es-CO"/>
        </w:rPr>
      </w:pPr>
      <w:r w:rsidRPr="008270B7">
        <w:rPr>
          <w:rFonts w:cs="Arial"/>
          <w:sz w:val="16"/>
          <w:szCs w:val="16"/>
          <w:lang w:val="es-CO"/>
        </w:rPr>
        <w:t xml:space="preserve">Además de los contenidos señalados en el </w:t>
      </w:r>
      <w:proofErr w:type="spellStart"/>
      <w:r w:rsidRPr="008270B7">
        <w:rPr>
          <w:rFonts w:cs="Arial"/>
          <w:sz w:val="16"/>
          <w:szCs w:val="16"/>
          <w:lang w:val="es-CO"/>
        </w:rPr>
        <w:t>subnumeral</w:t>
      </w:r>
      <w:proofErr w:type="spellEnd"/>
      <w:r w:rsidRPr="008270B7">
        <w:rPr>
          <w:rFonts w:cs="Arial"/>
          <w:sz w:val="16"/>
          <w:szCs w:val="16"/>
          <w:lang w:val="es-CO"/>
        </w:rPr>
        <w:t xml:space="preserve"> anterior, el manual debe contener políticas y procedimientos específicos aplicables para asegurar el cumplimiento de los deberes señalados en el artículo 2.31.7.2.1 del Decreto 2555 de 2010, de acuerdo con lo reglado en el mencionado artículo y las siguientes instrucciones: </w:t>
      </w:r>
    </w:p>
    <w:p w14:paraId="268D3DFC" w14:textId="77777777" w:rsidR="00A35509" w:rsidRPr="008270B7" w:rsidRDefault="00A35509" w:rsidP="008270B7">
      <w:pPr>
        <w:tabs>
          <w:tab w:val="left" w:pos="189"/>
        </w:tabs>
        <w:jc w:val="both"/>
        <w:rPr>
          <w:rFonts w:cs="Arial"/>
          <w:sz w:val="16"/>
          <w:szCs w:val="16"/>
          <w:lang w:val="es-CO"/>
        </w:rPr>
      </w:pPr>
    </w:p>
    <w:p w14:paraId="138FC33E"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3.10.5.6.2.1. </w:t>
      </w:r>
      <w:r w:rsidRPr="008270B7">
        <w:rPr>
          <w:rFonts w:cs="Arial"/>
          <w:sz w:val="16"/>
          <w:szCs w:val="16"/>
          <w:lang w:val="es-CO"/>
        </w:rPr>
        <w:t>Deber de información. Las políticas y procedimientos aplicables para asegurar el cumplimiento del deber de información deben contener, como mínimo, lo siguiente:</w:t>
      </w:r>
    </w:p>
    <w:p w14:paraId="0D41DB12" w14:textId="77777777" w:rsidR="00A35509" w:rsidRPr="008270B7" w:rsidRDefault="00A35509" w:rsidP="008270B7">
      <w:pPr>
        <w:tabs>
          <w:tab w:val="left" w:pos="189"/>
        </w:tabs>
        <w:jc w:val="both"/>
        <w:rPr>
          <w:rFonts w:cs="Arial"/>
          <w:sz w:val="16"/>
          <w:szCs w:val="16"/>
          <w:lang w:val="es-CO"/>
        </w:rPr>
      </w:pPr>
    </w:p>
    <w:p w14:paraId="327E0833"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3.10.5.6.2.1.1 </w:t>
      </w:r>
      <w:r w:rsidRPr="008270B7">
        <w:rPr>
          <w:rFonts w:cs="Arial"/>
          <w:sz w:val="16"/>
          <w:szCs w:val="16"/>
          <w:lang w:val="es-CO"/>
        </w:rPr>
        <w:t xml:space="preserve">Los medios, canales y/o herramientas para suministrar información a los clientes o potenciales clientes, los cuales deben garantizar que se cumpla con el deber de información y documentación de manera previa a la realización de una operación de renta vitalicia inmobiliaria, o a la modificación de las condiciones de </w:t>
      </w:r>
      <w:proofErr w:type="gramStart"/>
      <w:r w:rsidRPr="008270B7">
        <w:rPr>
          <w:rFonts w:cs="Arial"/>
          <w:sz w:val="16"/>
          <w:szCs w:val="16"/>
          <w:lang w:val="es-CO"/>
        </w:rPr>
        <w:t>la misma</w:t>
      </w:r>
      <w:proofErr w:type="gramEnd"/>
      <w:r w:rsidRPr="008270B7">
        <w:rPr>
          <w:rFonts w:cs="Arial"/>
          <w:sz w:val="16"/>
          <w:szCs w:val="16"/>
          <w:lang w:val="es-CO"/>
        </w:rPr>
        <w:t xml:space="preserve">. </w:t>
      </w:r>
    </w:p>
    <w:p w14:paraId="280D4B05" w14:textId="77777777" w:rsidR="00A35509" w:rsidRPr="008270B7" w:rsidRDefault="00A35509" w:rsidP="008270B7">
      <w:pPr>
        <w:tabs>
          <w:tab w:val="left" w:pos="189"/>
        </w:tabs>
        <w:jc w:val="both"/>
        <w:rPr>
          <w:rFonts w:cs="Arial"/>
          <w:sz w:val="16"/>
          <w:szCs w:val="16"/>
          <w:lang w:val="es-CO"/>
        </w:rPr>
      </w:pPr>
    </w:p>
    <w:p w14:paraId="2103C507"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3.10.5.6.2.1.2 </w:t>
      </w:r>
      <w:r w:rsidRPr="008270B7">
        <w:rPr>
          <w:rFonts w:cs="Arial"/>
          <w:sz w:val="16"/>
          <w:szCs w:val="16"/>
          <w:lang w:val="es-CO"/>
        </w:rPr>
        <w:t xml:space="preserve">Los criterios para evaluar la suficiencia, objetividad, oportunidad, completitud, imparcialidad, claridad y facilidad de comprensión de la información dirigida a los clientes y potenciales clientes. Adicionalmente, deben establecer los criterios para determinar las condiciones contractuales materiales del producto ofrecido. </w:t>
      </w:r>
    </w:p>
    <w:p w14:paraId="28AA5897" w14:textId="77777777" w:rsidR="00A35509" w:rsidRPr="008270B7" w:rsidRDefault="00A35509" w:rsidP="008270B7">
      <w:pPr>
        <w:tabs>
          <w:tab w:val="left" w:pos="189"/>
        </w:tabs>
        <w:jc w:val="both"/>
        <w:rPr>
          <w:rFonts w:cs="Arial"/>
          <w:sz w:val="16"/>
          <w:szCs w:val="16"/>
          <w:lang w:val="es-CO"/>
        </w:rPr>
      </w:pPr>
    </w:p>
    <w:p w14:paraId="2A15516E"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3.10.5.6.2.2. </w:t>
      </w:r>
      <w:r w:rsidRPr="008270B7">
        <w:rPr>
          <w:rFonts w:cs="Arial"/>
          <w:sz w:val="16"/>
          <w:szCs w:val="16"/>
          <w:lang w:val="es-CO"/>
        </w:rPr>
        <w:t xml:space="preserve">Deber de documentación. Se deben incluir las políticas de gestión y actualización documental que garanticen la </w:t>
      </w:r>
      <w:proofErr w:type="spellStart"/>
      <w:r w:rsidRPr="008270B7">
        <w:rPr>
          <w:rFonts w:cs="Arial"/>
          <w:sz w:val="16"/>
          <w:szCs w:val="16"/>
          <w:lang w:val="es-CO"/>
        </w:rPr>
        <w:t>documentacion</w:t>
      </w:r>
      <w:proofErr w:type="spellEnd"/>
      <w:r w:rsidRPr="008270B7">
        <w:rPr>
          <w:rFonts w:cs="Arial"/>
          <w:sz w:val="16"/>
          <w:szCs w:val="16"/>
          <w:lang w:val="es-CO"/>
        </w:rPr>
        <w:t xml:space="preserve"> de manera oportuna y adecuada de la información y asesoría entregada al cliente o potencial cliente de la operación.</w:t>
      </w:r>
    </w:p>
    <w:p w14:paraId="0EE1A1C3" w14:textId="77777777" w:rsidR="00A35509" w:rsidRPr="008270B7" w:rsidRDefault="00A35509" w:rsidP="008270B7">
      <w:pPr>
        <w:tabs>
          <w:tab w:val="left" w:pos="189"/>
        </w:tabs>
        <w:jc w:val="both"/>
        <w:rPr>
          <w:rFonts w:cs="Arial"/>
          <w:sz w:val="16"/>
          <w:szCs w:val="16"/>
          <w:lang w:val="es-CO"/>
        </w:rPr>
      </w:pPr>
    </w:p>
    <w:p w14:paraId="01075D2E"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3.10.5.6.2.3. </w:t>
      </w:r>
      <w:r w:rsidRPr="008270B7">
        <w:rPr>
          <w:rFonts w:cs="Arial"/>
          <w:sz w:val="16"/>
          <w:szCs w:val="16"/>
          <w:lang w:val="es-CO"/>
        </w:rPr>
        <w:t>Deber de mejor resultado de la operación. Se deben incluir los criterios y procedimientos específicos que le permitirán a los funcionarios participantes evaluar la información particular del cliente o potencial cliente y determinar el mejor resultado posible para el mismo.</w:t>
      </w:r>
    </w:p>
    <w:p w14:paraId="128E6F0D" w14:textId="77777777" w:rsidR="00A35509" w:rsidRPr="008270B7" w:rsidRDefault="00A35509" w:rsidP="008270B7">
      <w:pPr>
        <w:tabs>
          <w:tab w:val="left" w:pos="189"/>
        </w:tabs>
        <w:jc w:val="both"/>
        <w:rPr>
          <w:rFonts w:cs="Arial"/>
          <w:sz w:val="16"/>
          <w:szCs w:val="16"/>
          <w:lang w:val="es-CO"/>
        </w:rPr>
      </w:pPr>
    </w:p>
    <w:p w14:paraId="7D47082F"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 </w:t>
      </w:r>
      <w:r w:rsidRPr="008270B7">
        <w:rPr>
          <w:rFonts w:cs="Arial"/>
          <w:sz w:val="16"/>
          <w:szCs w:val="16"/>
          <w:lang w:val="es-CO"/>
        </w:rPr>
        <w:t>Deber de asesoría. Las entidades aseguradoras deben establecer políticas y procedimientos para cumplir el deber de asesoría, las cuales deben contener, como mínimo, lo siguiente:</w:t>
      </w:r>
    </w:p>
    <w:p w14:paraId="2911DCD6" w14:textId="77777777" w:rsidR="00A35509" w:rsidRPr="008270B7" w:rsidRDefault="00A35509" w:rsidP="008270B7">
      <w:pPr>
        <w:tabs>
          <w:tab w:val="left" w:pos="189"/>
        </w:tabs>
        <w:jc w:val="both"/>
        <w:rPr>
          <w:rFonts w:cs="Arial"/>
          <w:sz w:val="16"/>
          <w:szCs w:val="16"/>
          <w:lang w:val="es-CO"/>
        </w:rPr>
      </w:pPr>
    </w:p>
    <w:p w14:paraId="2D51D33D"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3.10.5.6.2.4.1. </w:t>
      </w:r>
      <w:r w:rsidRPr="008270B7">
        <w:rPr>
          <w:rFonts w:cs="Arial"/>
          <w:sz w:val="16"/>
          <w:szCs w:val="16"/>
          <w:lang w:val="es-CO"/>
        </w:rPr>
        <w:t xml:space="preserve">Los medios y procedimientos para brindar la asesoría al cliente o potencial cliente, los cuales deben contemplar el suministro de manera personalizada y a través de un medio verificable que permita la interacción directa y en tiempo real entre el funcionario de la entidad y el cliente o potencial cliente. </w:t>
      </w:r>
    </w:p>
    <w:p w14:paraId="3721884D" w14:textId="77777777" w:rsidR="00A35509" w:rsidRPr="008270B7" w:rsidRDefault="00A35509" w:rsidP="008270B7">
      <w:pPr>
        <w:tabs>
          <w:tab w:val="left" w:pos="189"/>
        </w:tabs>
        <w:jc w:val="both"/>
        <w:rPr>
          <w:rFonts w:cs="Arial"/>
          <w:sz w:val="16"/>
          <w:szCs w:val="16"/>
          <w:lang w:val="es-CO"/>
        </w:rPr>
      </w:pPr>
    </w:p>
    <w:p w14:paraId="1C76D435"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3.10.5.6.2.4.2. </w:t>
      </w:r>
      <w:r w:rsidRPr="008270B7">
        <w:rPr>
          <w:rFonts w:cs="Arial"/>
          <w:sz w:val="16"/>
          <w:szCs w:val="16"/>
          <w:lang w:val="es-CO"/>
        </w:rPr>
        <w:t>Los mecanismos que aseguren que la entidad cuenta con la información necesaria para la elaboración del perfil del cliente, incluyendo los medios y procedimientos para requerir dicha información al cliente o potencial cliente.</w:t>
      </w:r>
    </w:p>
    <w:p w14:paraId="15B7ADC1" w14:textId="77777777" w:rsidR="00A35509" w:rsidRPr="008270B7" w:rsidRDefault="00A35509" w:rsidP="008270B7">
      <w:pPr>
        <w:tabs>
          <w:tab w:val="left" w:pos="189"/>
        </w:tabs>
        <w:jc w:val="both"/>
        <w:rPr>
          <w:rFonts w:cs="Arial"/>
          <w:sz w:val="16"/>
          <w:szCs w:val="16"/>
          <w:lang w:val="es-CO"/>
        </w:rPr>
      </w:pPr>
    </w:p>
    <w:p w14:paraId="429176F1"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3.10.5.6.2.4.3. </w:t>
      </w:r>
      <w:r w:rsidRPr="008270B7">
        <w:rPr>
          <w:rFonts w:cs="Arial"/>
          <w:sz w:val="16"/>
          <w:szCs w:val="16"/>
          <w:lang w:val="es-CO"/>
        </w:rPr>
        <w:t xml:space="preserve">Los criterios para determinar el perfil del cliente y el perfil del producto, según lo establecido en los </w:t>
      </w:r>
      <w:proofErr w:type="spellStart"/>
      <w:r w:rsidRPr="008270B7">
        <w:rPr>
          <w:rFonts w:cs="Arial"/>
          <w:sz w:val="16"/>
          <w:szCs w:val="16"/>
          <w:lang w:val="es-CO"/>
        </w:rPr>
        <w:t>subnumerales</w:t>
      </w:r>
      <w:proofErr w:type="spellEnd"/>
      <w:r w:rsidRPr="008270B7">
        <w:rPr>
          <w:rFonts w:cs="Arial"/>
          <w:sz w:val="16"/>
          <w:szCs w:val="16"/>
          <w:lang w:val="es-CO"/>
        </w:rPr>
        <w:t xml:space="preserve"> 4.2 y 4.3 del artículo 2.31.7.2.1 del Decreto 2555 de 2010.</w:t>
      </w:r>
    </w:p>
    <w:p w14:paraId="618CCD5F" w14:textId="77777777" w:rsidR="00A35509" w:rsidRPr="008270B7" w:rsidRDefault="00A35509" w:rsidP="008270B7">
      <w:pPr>
        <w:tabs>
          <w:tab w:val="left" w:pos="189"/>
        </w:tabs>
        <w:jc w:val="both"/>
        <w:rPr>
          <w:rFonts w:cs="Arial"/>
          <w:sz w:val="16"/>
          <w:szCs w:val="16"/>
          <w:lang w:val="es-CO"/>
        </w:rPr>
      </w:pPr>
    </w:p>
    <w:p w14:paraId="71AF9CD6"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3.10.5.6.2.4.4. </w:t>
      </w:r>
      <w:r w:rsidRPr="008270B7">
        <w:rPr>
          <w:rFonts w:cs="Arial"/>
          <w:sz w:val="16"/>
          <w:szCs w:val="16"/>
          <w:lang w:val="es-CO"/>
        </w:rPr>
        <w:t xml:space="preserve">Los criterios para evaluar la idoneidad del producto tomando en consideración las características individuales y personales establecidas en el perfil del cliente y el perfil del producto, con el fin de entregar al cliente o potencial cliente la recomendación profesional establecida en el </w:t>
      </w:r>
      <w:proofErr w:type="spellStart"/>
      <w:r w:rsidRPr="008270B7">
        <w:rPr>
          <w:rFonts w:cs="Arial"/>
          <w:sz w:val="16"/>
          <w:szCs w:val="16"/>
          <w:lang w:val="es-CO"/>
        </w:rPr>
        <w:t>subnumeral</w:t>
      </w:r>
      <w:proofErr w:type="spellEnd"/>
      <w:r w:rsidRPr="008270B7">
        <w:rPr>
          <w:rFonts w:cs="Arial"/>
          <w:sz w:val="16"/>
          <w:szCs w:val="16"/>
          <w:lang w:val="es-CO"/>
        </w:rPr>
        <w:t xml:space="preserve"> 4.1 del artículo 2.31.7.2.1 del Decreto 2555 de 2010.</w:t>
      </w:r>
    </w:p>
    <w:p w14:paraId="7920AA16" w14:textId="77777777" w:rsidR="00A35509" w:rsidRPr="008270B7" w:rsidRDefault="00A35509" w:rsidP="008270B7">
      <w:pPr>
        <w:tabs>
          <w:tab w:val="left" w:pos="189"/>
        </w:tabs>
        <w:jc w:val="both"/>
        <w:rPr>
          <w:rFonts w:cs="Arial"/>
          <w:sz w:val="16"/>
          <w:szCs w:val="16"/>
        </w:rPr>
      </w:pPr>
    </w:p>
    <w:p w14:paraId="331FF741"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3.10.5.6.2.4.5. </w:t>
      </w:r>
      <w:r w:rsidRPr="008270B7">
        <w:rPr>
          <w:rFonts w:cs="Arial"/>
          <w:sz w:val="16"/>
          <w:szCs w:val="16"/>
          <w:lang w:val="es-CO"/>
        </w:rPr>
        <w:t>El documento entregado al cliente o potencial cliente como soporte de la recomendación profesional debe estar redactado en lenguaje claro y de fácil entendimiento, evitando el uso de</w:t>
      </w:r>
      <w:r w:rsidRPr="008270B7">
        <w:rPr>
          <w:rFonts w:eastAsia="Arial" w:cs="Arial"/>
          <w:sz w:val="16"/>
          <w:szCs w:val="16"/>
          <w:lang w:val="es"/>
        </w:rPr>
        <w:t xml:space="preserve"> lenguaje técnico o complejo, y debe </w:t>
      </w:r>
      <w:r w:rsidRPr="008270B7">
        <w:rPr>
          <w:rFonts w:cs="Arial"/>
          <w:sz w:val="16"/>
          <w:szCs w:val="16"/>
          <w:lang w:val="es-CO"/>
        </w:rPr>
        <w:t>contener, como mínimo, lo siguiente:</w:t>
      </w:r>
    </w:p>
    <w:p w14:paraId="752A0101" w14:textId="6A5AA95B" w:rsidR="00A35509" w:rsidRPr="008270B7" w:rsidRDefault="00A35509" w:rsidP="008270B7">
      <w:pPr>
        <w:tabs>
          <w:tab w:val="left" w:pos="189"/>
        </w:tabs>
        <w:jc w:val="both"/>
        <w:rPr>
          <w:rFonts w:cs="Arial"/>
          <w:sz w:val="16"/>
          <w:szCs w:val="16"/>
          <w:lang w:val="es-CO"/>
        </w:rPr>
        <w:sectPr w:rsidR="00A35509" w:rsidRPr="008270B7" w:rsidSect="00A35509">
          <w:footerReference w:type="default" r:id="rId90"/>
          <w:pgSz w:w="12240" w:h="18720" w:code="257"/>
          <w:pgMar w:top="1417" w:right="1701" w:bottom="1276" w:left="1701" w:header="709" w:footer="591" w:gutter="0"/>
          <w:pgNumType w:start="31"/>
          <w:cols w:space="708"/>
          <w:docGrid w:linePitch="360"/>
        </w:sectPr>
      </w:pPr>
    </w:p>
    <w:p w14:paraId="213CAF53"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lastRenderedPageBreak/>
        <w:t xml:space="preserve">3.10.5.6.2.4.5.1. </w:t>
      </w:r>
      <w:r w:rsidRPr="008270B7">
        <w:rPr>
          <w:rFonts w:cs="Arial"/>
          <w:sz w:val="16"/>
          <w:szCs w:val="16"/>
          <w:lang w:val="es-CO"/>
        </w:rPr>
        <w:t>Explicación del perfil del cliente.</w:t>
      </w:r>
    </w:p>
    <w:p w14:paraId="301EB8A7" w14:textId="77777777" w:rsidR="00A35509" w:rsidRPr="008270B7" w:rsidRDefault="00A35509" w:rsidP="008270B7">
      <w:pPr>
        <w:tabs>
          <w:tab w:val="left" w:pos="189"/>
        </w:tabs>
        <w:jc w:val="both"/>
        <w:rPr>
          <w:rFonts w:cs="Arial"/>
          <w:sz w:val="16"/>
          <w:szCs w:val="16"/>
          <w:lang w:val="es-CO"/>
        </w:rPr>
      </w:pPr>
    </w:p>
    <w:p w14:paraId="259EACAC"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3.10.5.6.2.4.5.2. </w:t>
      </w:r>
      <w:r w:rsidRPr="008270B7">
        <w:rPr>
          <w:rFonts w:cs="Arial"/>
          <w:sz w:val="16"/>
          <w:szCs w:val="16"/>
          <w:lang w:val="es-CO"/>
        </w:rPr>
        <w:t xml:space="preserve">Perfil del producto ofrecido </w:t>
      </w:r>
      <w:r w:rsidRPr="008270B7">
        <w:rPr>
          <w:rFonts w:cs="Arial"/>
          <w:sz w:val="16"/>
          <w:szCs w:val="16"/>
        </w:rPr>
        <w:t>según corresponda en su respectiva nota técnica</w:t>
      </w:r>
      <w:r w:rsidRPr="008270B7">
        <w:rPr>
          <w:rFonts w:cs="Arial"/>
          <w:sz w:val="16"/>
          <w:szCs w:val="16"/>
          <w:lang w:val="es-CO"/>
        </w:rPr>
        <w:t>, el cual contenga de manera explícita la explicación de cómo la modalidad y los términos recomendados para la renta vitalicia inmobiliaria se adecuan al perfil del cliente.</w:t>
      </w:r>
    </w:p>
    <w:p w14:paraId="5352F955" w14:textId="77777777" w:rsidR="00A35509" w:rsidRPr="008270B7" w:rsidRDefault="00A35509" w:rsidP="008270B7">
      <w:pPr>
        <w:tabs>
          <w:tab w:val="left" w:pos="189"/>
        </w:tabs>
        <w:jc w:val="both"/>
        <w:rPr>
          <w:rFonts w:cs="Arial"/>
          <w:sz w:val="16"/>
          <w:szCs w:val="16"/>
          <w:lang w:val="es-CO"/>
        </w:rPr>
      </w:pPr>
      <w:r w:rsidRPr="008270B7">
        <w:rPr>
          <w:rFonts w:cs="Arial"/>
          <w:sz w:val="16"/>
          <w:szCs w:val="16"/>
          <w:lang w:val="es-CO"/>
        </w:rPr>
        <w:t xml:space="preserve"> </w:t>
      </w:r>
    </w:p>
    <w:p w14:paraId="31340A38" w14:textId="77777777" w:rsidR="00A35509" w:rsidRPr="008270B7" w:rsidRDefault="00A35509" w:rsidP="008270B7">
      <w:pPr>
        <w:tabs>
          <w:tab w:val="left" w:pos="189"/>
        </w:tabs>
        <w:jc w:val="both"/>
        <w:rPr>
          <w:rFonts w:cs="Arial"/>
          <w:sz w:val="16"/>
          <w:szCs w:val="16"/>
          <w:lang w:val="es-CO"/>
        </w:rPr>
      </w:pPr>
      <w:r w:rsidRPr="008270B7">
        <w:rPr>
          <w:rFonts w:cs="Arial"/>
          <w:sz w:val="16"/>
          <w:szCs w:val="16"/>
        </w:rPr>
        <w:t xml:space="preserve">3.10.5.6.2.4.5.3. </w:t>
      </w:r>
      <w:r w:rsidRPr="008270B7">
        <w:rPr>
          <w:rFonts w:cs="Arial"/>
          <w:sz w:val="16"/>
          <w:szCs w:val="16"/>
          <w:lang w:val="es-CO"/>
        </w:rPr>
        <w:t>La determinación de si la entidad aseguradora considera que el producto ofrecido es idóneo para el cliente o potencial cliente, con una síntesis de los argumentos que le sirven de fundamento.</w:t>
      </w:r>
    </w:p>
    <w:p w14:paraId="3478E61A" w14:textId="77777777" w:rsidR="00A35509" w:rsidRPr="008270B7" w:rsidRDefault="00A35509" w:rsidP="008270B7">
      <w:pPr>
        <w:tabs>
          <w:tab w:val="left" w:pos="189"/>
        </w:tabs>
        <w:jc w:val="both"/>
        <w:rPr>
          <w:rFonts w:cs="Arial"/>
          <w:sz w:val="16"/>
          <w:szCs w:val="16"/>
          <w:lang w:val="es-CO"/>
        </w:rPr>
      </w:pPr>
    </w:p>
    <w:p w14:paraId="1D205288" w14:textId="77777777" w:rsidR="00A35509" w:rsidRPr="008270B7" w:rsidRDefault="00A35509" w:rsidP="008270B7">
      <w:pPr>
        <w:tabs>
          <w:tab w:val="left" w:pos="189"/>
        </w:tabs>
        <w:jc w:val="both"/>
        <w:rPr>
          <w:rFonts w:cs="Arial"/>
          <w:sz w:val="16"/>
          <w:szCs w:val="16"/>
        </w:rPr>
      </w:pPr>
      <w:r w:rsidRPr="008270B7">
        <w:rPr>
          <w:rFonts w:cs="Arial"/>
          <w:sz w:val="16"/>
          <w:szCs w:val="16"/>
        </w:rPr>
        <w:t xml:space="preserve">3.10.5.6.2.4.5.4. Una descripción detallada de los costos, tarifas y comisiones asumidos por las entidades aseguradoras y el tomador al momento de suscribir el producto, junto con los efectos de incluir la opción de retracto en el valor del pago periódico y en los costos, tarifas y comisiones asumidos por las entidades aseguradoras. </w:t>
      </w:r>
    </w:p>
    <w:p w14:paraId="7C0AF223" w14:textId="77777777" w:rsidR="00A35509" w:rsidRPr="008270B7" w:rsidRDefault="00A35509" w:rsidP="008270B7">
      <w:pPr>
        <w:tabs>
          <w:tab w:val="left" w:pos="189"/>
        </w:tabs>
        <w:jc w:val="both"/>
        <w:rPr>
          <w:rFonts w:cs="Arial"/>
          <w:sz w:val="16"/>
          <w:szCs w:val="16"/>
        </w:rPr>
      </w:pPr>
    </w:p>
    <w:p w14:paraId="4AF81489" w14:textId="77777777" w:rsidR="00A35509" w:rsidRPr="008270B7" w:rsidRDefault="00A35509" w:rsidP="008270B7">
      <w:pPr>
        <w:tabs>
          <w:tab w:val="left" w:pos="189"/>
        </w:tabs>
        <w:jc w:val="both"/>
        <w:rPr>
          <w:rFonts w:cs="Arial"/>
          <w:sz w:val="16"/>
          <w:szCs w:val="16"/>
        </w:rPr>
      </w:pPr>
      <w:r w:rsidRPr="008270B7">
        <w:rPr>
          <w:rFonts w:cs="Arial"/>
          <w:sz w:val="16"/>
          <w:szCs w:val="16"/>
        </w:rPr>
        <w:t xml:space="preserve">Adicionalmente, las entidades aseguradoras deben incluir una estimación detallada del pago total que tendría que asumir el tomador en el evento en que decida ejercer la opción de retracto al finalizar el período de retracto. </w:t>
      </w:r>
    </w:p>
    <w:p w14:paraId="2A38B44C" w14:textId="77777777" w:rsidR="00A35509" w:rsidRPr="008270B7" w:rsidRDefault="00A35509" w:rsidP="008270B7">
      <w:pPr>
        <w:tabs>
          <w:tab w:val="left" w:pos="189"/>
        </w:tabs>
        <w:jc w:val="both"/>
        <w:rPr>
          <w:rFonts w:cs="Arial"/>
          <w:sz w:val="16"/>
          <w:szCs w:val="16"/>
        </w:rPr>
      </w:pPr>
    </w:p>
    <w:p w14:paraId="5C6989FF" w14:textId="77777777" w:rsidR="00A35509" w:rsidRPr="008270B7" w:rsidRDefault="00A35509" w:rsidP="008270B7">
      <w:pPr>
        <w:tabs>
          <w:tab w:val="left" w:pos="189"/>
        </w:tabs>
        <w:jc w:val="both"/>
        <w:rPr>
          <w:rFonts w:cs="Arial"/>
          <w:color w:val="000000" w:themeColor="text1"/>
          <w:sz w:val="16"/>
          <w:szCs w:val="16"/>
        </w:rPr>
      </w:pPr>
      <w:r w:rsidRPr="008270B7">
        <w:rPr>
          <w:rFonts w:cs="Arial"/>
          <w:color w:val="000000" w:themeColor="text1"/>
          <w:sz w:val="16"/>
          <w:szCs w:val="16"/>
        </w:rPr>
        <w:t>En caso de que el producto incluya cubrimientos adicionales conforme al artículo 2.31.7.1.3 del Decreto 2555 de 2010, se debe informar el impacto de dichos cubrimientos sobre las rentas.</w:t>
      </w:r>
    </w:p>
    <w:p w14:paraId="57DFD2ED" w14:textId="77777777" w:rsidR="00A35509" w:rsidRPr="008270B7" w:rsidRDefault="00A35509" w:rsidP="008270B7">
      <w:pPr>
        <w:tabs>
          <w:tab w:val="left" w:pos="189"/>
        </w:tabs>
        <w:jc w:val="both"/>
        <w:rPr>
          <w:rFonts w:cs="Arial"/>
          <w:color w:val="000000" w:themeColor="text1"/>
          <w:sz w:val="16"/>
          <w:szCs w:val="16"/>
        </w:rPr>
      </w:pPr>
    </w:p>
    <w:p w14:paraId="40ABBF64" w14:textId="77777777" w:rsidR="00A35509" w:rsidRPr="008270B7" w:rsidRDefault="00A35509" w:rsidP="008270B7">
      <w:pPr>
        <w:tabs>
          <w:tab w:val="left" w:pos="189"/>
        </w:tabs>
        <w:jc w:val="both"/>
        <w:rPr>
          <w:rFonts w:cs="Arial"/>
          <w:sz w:val="16"/>
          <w:szCs w:val="16"/>
        </w:rPr>
      </w:pPr>
      <w:r w:rsidRPr="008270B7">
        <w:rPr>
          <w:rFonts w:cs="Arial"/>
          <w:sz w:val="16"/>
          <w:szCs w:val="16"/>
        </w:rPr>
        <w:t xml:space="preserve">3.10.5.6.2.4.5.5. Descripción detallada de los derechos y deberes de los tomadores y/o </w:t>
      </w:r>
      <w:proofErr w:type="gramStart"/>
      <w:r w:rsidRPr="008270B7">
        <w:rPr>
          <w:rFonts w:cs="Arial"/>
          <w:sz w:val="16"/>
          <w:szCs w:val="16"/>
        </w:rPr>
        <w:t>beneficiarios</w:t>
      </w:r>
      <w:proofErr w:type="gramEnd"/>
      <w:r w:rsidRPr="008270B7">
        <w:rPr>
          <w:rFonts w:cs="Arial"/>
          <w:sz w:val="16"/>
          <w:szCs w:val="16"/>
        </w:rPr>
        <w:t xml:space="preserve"> así como de las entidades aseguradoras por la celebración de la operación. </w:t>
      </w:r>
    </w:p>
    <w:p w14:paraId="17DA2B62" w14:textId="77777777" w:rsidR="00A35509" w:rsidRPr="008270B7" w:rsidRDefault="00A35509" w:rsidP="008270B7">
      <w:pPr>
        <w:tabs>
          <w:tab w:val="left" w:pos="189"/>
        </w:tabs>
        <w:jc w:val="both"/>
        <w:rPr>
          <w:rFonts w:cs="Arial"/>
          <w:sz w:val="16"/>
          <w:szCs w:val="16"/>
        </w:rPr>
      </w:pPr>
    </w:p>
    <w:p w14:paraId="27BF1017" w14:textId="77777777" w:rsidR="00A35509" w:rsidRPr="008270B7" w:rsidRDefault="00A35509" w:rsidP="008270B7">
      <w:pPr>
        <w:tabs>
          <w:tab w:val="left" w:pos="189"/>
        </w:tabs>
        <w:jc w:val="both"/>
        <w:rPr>
          <w:rFonts w:cs="Arial"/>
          <w:sz w:val="16"/>
          <w:szCs w:val="16"/>
        </w:rPr>
      </w:pPr>
      <w:r w:rsidRPr="008270B7">
        <w:rPr>
          <w:rFonts w:cs="Arial"/>
          <w:sz w:val="16"/>
          <w:szCs w:val="16"/>
        </w:rPr>
        <w:t>3.10.5.7. Autorización de nuevas modalidades de renta vitalicia inmobiliaria</w:t>
      </w:r>
    </w:p>
    <w:p w14:paraId="67D912C0" w14:textId="77777777" w:rsidR="00A35509" w:rsidRPr="008270B7" w:rsidRDefault="00A35509" w:rsidP="008270B7">
      <w:pPr>
        <w:tabs>
          <w:tab w:val="left" w:pos="720"/>
        </w:tabs>
        <w:adjustRightInd w:val="0"/>
        <w:jc w:val="both"/>
        <w:rPr>
          <w:rFonts w:cs="Arial"/>
          <w:sz w:val="16"/>
          <w:szCs w:val="16"/>
          <w:lang w:val="es-CO"/>
        </w:rPr>
      </w:pPr>
    </w:p>
    <w:p w14:paraId="0DB14C22" w14:textId="77777777" w:rsidR="00A35509" w:rsidRPr="008270B7" w:rsidRDefault="00A35509" w:rsidP="008270B7">
      <w:pPr>
        <w:tabs>
          <w:tab w:val="left" w:pos="720"/>
        </w:tabs>
        <w:adjustRightInd w:val="0"/>
        <w:jc w:val="both"/>
        <w:rPr>
          <w:rFonts w:cs="Arial"/>
          <w:sz w:val="16"/>
          <w:szCs w:val="16"/>
          <w:lang w:val="es-CO"/>
        </w:rPr>
      </w:pPr>
      <w:r w:rsidRPr="008270B7">
        <w:rPr>
          <w:rFonts w:cs="Arial"/>
          <w:sz w:val="16"/>
          <w:szCs w:val="16"/>
          <w:lang w:val="es-CO"/>
        </w:rPr>
        <w:t xml:space="preserve">De conformidad con lo previsto en el parágrafo 3 del artículo 2.31.7.1.2 del Decreto 2555 de 2010 y sin perjuicio de lo establecido en el </w:t>
      </w:r>
      <w:proofErr w:type="spellStart"/>
      <w:r w:rsidRPr="008270B7">
        <w:rPr>
          <w:rFonts w:cs="Arial"/>
          <w:sz w:val="16"/>
          <w:szCs w:val="16"/>
          <w:lang w:val="es-CO"/>
        </w:rPr>
        <w:t>subnumeral</w:t>
      </w:r>
      <w:proofErr w:type="spellEnd"/>
      <w:r w:rsidRPr="008270B7">
        <w:rPr>
          <w:rFonts w:cs="Arial"/>
          <w:sz w:val="16"/>
          <w:szCs w:val="16"/>
          <w:lang w:val="es-CO"/>
        </w:rPr>
        <w:t xml:space="preserve"> 1.1. del presente Capítulo, las entidades aseguradoras que pretendan ofrecer nuevas modalidades de renta vitalicia inmobiliaria diferentes a las previstas en el artículo 2.31.7.1.2 del Decreto 2555 de 2010 deben contar con autorización previa de la SFC.</w:t>
      </w:r>
    </w:p>
    <w:p w14:paraId="65C27BE8" w14:textId="77777777" w:rsidR="00A35509" w:rsidRPr="008270B7" w:rsidRDefault="00A35509" w:rsidP="008270B7">
      <w:pPr>
        <w:tabs>
          <w:tab w:val="left" w:pos="720"/>
        </w:tabs>
        <w:adjustRightInd w:val="0"/>
        <w:jc w:val="both"/>
        <w:rPr>
          <w:rFonts w:cs="Arial"/>
          <w:sz w:val="16"/>
          <w:szCs w:val="16"/>
          <w:lang w:val="es-CO"/>
        </w:rPr>
      </w:pPr>
    </w:p>
    <w:p w14:paraId="71185F07" w14:textId="77777777" w:rsidR="00A35509" w:rsidRPr="008270B7" w:rsidRDefault="00A35509" w:rsidP="008270B7">
      <w:pPr>
        <w:tabs>
          <w:tab w:val="left" w:pos="720"/>
        </w:tabs>
        <w:adjustRightInd w:val="0"/>
        <w:jc w:val="both"/>
        <w:rPr>
          <w:rFonts w:cs="Arial"/>
          <w:sz w:val="16"/>
          <w:szCs w:val="16"/>
          <w:lang w:val="es-CO"/>
        </w:rPr>
      </w:pPr>
      <w:r w:rsidRPr="008270B7">
        <w:rPr>
          <w:rFonts w:cs="Arial"/>
          <w:sz w:val="16"/>
          <w:szCs w:val="16"/>
          <w:lang w:val="es-CO"/>
        </w:rPr>
        <w:t xml:space="preserve">Para tal efecto, en todos los casos se debe remitir un ejemplar de la póliza con las condiciones aplicables a la nueva modalidad, así como la respectiva nota técnica, las cuales deben cumplir con la normatividad aplicable en relación con los modelos de las pólizas, tarifas, notas técnicas y anexos. Adicionalmente, se debe adjuntar un documento prototipo en el cual conste la recomendación profesional en un caso hipotético con base a lo cual darían cumplimiento al </w:t>
      </w:r>
      <w:proofErr w:type="spellStart"/>
      <w:r w:rsidRPr="008270B7">
        <w:rPr>
          <w:rFonts w:cs="Arial"/>
          <w:sz w:val="16"/>
          <w:szCs w:val="16"/>
          <w:lang w:val="es-CO"/>
        </w:rPr>
        <w:t>subnumeral</w:t>
      </w:r>
      <w:proofErr w:type="spellEnd"/>
      <w:r w:rsidRPr="008270B7">
        <w:rPr>
          <w:rFonts w:cs="Arial"/>
          <w:sz w:val="16"/>
          <w:szCs w:val="16"/>
          <w:lang w:val="es-CO"/>
        </w:rPr>
        <w:t xml:space="preserve"> </w:t>
      </w:r>
      <w:r w:rsidRPr="008270B7">
        <w:rPr>
          <w:rFonts w:cs="Arial"/>
          <w:sz w:val="16"/>
          <w:szCs w:val="16"/>
        </w:rPr>
        <w:t>3.10.5.6.2.4.5 del presente Capítulo.</w:t>
      </w:r>
    </w:p>
    <w:p w14:paraId="4F027106" w14:textId="77777777" w:rsidR="00A35509" w:rsidRPr="008270B7" w:rsidRDefault="00A35509" w:rsidP="008270B7">
      <w:pPr>
        <w:tabs>
          <w:tab w:val="left" w:pos="720"/>
        </w:tabs>
        <w:adjustRightInd w:val="0"/>
        <w:jc w:val="both"/>
        <w:rPr>
          <w:rFonts w:cs="Arial"/>
          <w:sz w:val="16"/>
          <w:szCs w:val="16"/>
          <w:lang w:val="es-CO"/>
        </w:rPr>
      </w:pPr>
    </w:p>
    <w:p w14:paraId="2BB6D929" w14:textId="77777777" w:rsidR="00A35509" w:rsidRPr="008270B7" w:rsidRDefault="00A35509" w:rsidP="008270B7">
      <w:pPr>
        <w:tabs>
          <w:tab w:val="left" w:pos="720"/>
        </w:tabs>
        <w:adjustRightInd w:val="0"/>
        <w:jc w:val="both"/>
        <w:rPr>
          <w:rFonts w:cs="Arial"/>
          <w:sz w:val="16"/>
          <w:szCs w:val="16"/>
          <w:lang w:val="es-CO"/>
        </w:rPr>
      </w:pPr>
      <w:r w:rsidRPr="008270B7">
        <w:rPr>
          <w:rFonts w:cs="Arial"/>
          <w:sz w:val="16"/>
          <w:szCs w:val="16"/>
          <w:lang w:val="es-CO"/>
        </w:rPr>
        <w:t xml:space="preserve">De igual forma, cualquier modificación que se pretenda realizar a las condiciones establecidas en la nueva modalidad de renta vitalicia inmobiliaria, sus anexos y/o a la nota técnica, se debe someter a autorización previa de la SFC. </w:t>
      </w:r>
    </w:p>
    <w:p w14:paraId="20B5B58A" w14:textId="77777777" w:rsidR="00A35509" w:rsidRPr="008270B7" w:rsidRDefault="00A35509" w:rsidP="008270B7">
      <w:pPr>
        <w:tabs>
          <w:tab w:val="left" w:pos="720"/>
        </w:tabs>
        <w:adjustRightInd w:val="0"/>
        <w:jc w:val="both"/>
        <w:rPr>
          <w:rFonts w:cs="Arial"/>
          <w:sz w:val="16"/>
          <w:szCs w:val="16"/>
          <w:lang w:val="es-CO"/>
        </w:rPr>
      </w:pPr>
    </w:p>
    <w:p w14:paraId="76023916" w14:textId="77777777" w:rsidR="00A35509" w:rsidRPr="008270B7" w:rsidRDefault="00A35509" w:rsidP="008270B7">
      <w:pPr>
        <w:tabs>
          <w:tab w:val="left" w:pos="720"/>
        </w:tabs>
        <w:adjustRightInd w:val="0"/>
        <w:jc w:val="both"/>
        <w:rPr>
          <w:rFonts w:cs="Arial"/>
          <w:sz w:val="16"/>
          <w:szCs w:val="16"/>
          <w:lang w:val="es-CO"/>
        </w:rPr>
      </w:pPr>
      <w:r w:rsidRPr="008270B7">
        <w:rPr>
          <w:rFonts w:cs="Arial"/>
          <w:sz w:val="16"/>
          <w:szCs w:val="16"/>
          <w:lang w:val="es-CO"/>
        </w:rPr>
        <w:t>La SFC en el ejercicio de sus facultades legales puede suspender la autorización del ofrecimiento de las nuevas modalidades de renta vitalicia inmobiliaria, en el evento en que la entidad aseguradora decida no comercializar dicha modalidad durante un tiempo igual o superior a seis (6) meses.</w:t>
      </w:r>
    </w:p>
    <w:p w14:paraId="4E54E58C" w14:textId="77777777" w:rsidR="00A35509" w:rsidRPr="008270B7" w:rsidRDefault="00A35509" w:rsidP="008270B7">
      <w:pPr>
        <w:pStyle w:val="Ttulo2"/>
        <w:keepNext w:val="0"/>
        <w:rPr>
          <w:b w:val="0"/>
          <w:bCs w:val="0"/>
          <w:szCs w:val="16"/>
        </w:rPr>
      </w:pPr>
    </w:p>
    <w:p w14:paraId="29F6FCB5" w14:textId="77777777" w:rsidR="00A35509" w:rsidRPr="008270B7" w:rsidRDefault="00A35509" w:rsidP="008270B7">
      <w:pPr>
        <w:pStyle w:val="Ttulo2"/>
        <w:keepNext w:val="0"/>
        <w:rPr>
          <w:b w:val="0"/>
          <w:bCs w:val="0"/>
          <w:szCs w:val="16"/>
        </w:rPr>
      </w:pPr>
      <w:r w:rsidRPr="008270B7">
        <w:rPr>
          <w:b w:val="0"/>
          <w:bCs w:val="0"/>
          <w:szCs w:val="16"/>
        </w:rPr>
        <w:t>3.11. Reglas aplicables al Seguro de Beneficios Económicos Periódicos - BEPS</w:t>
      </w:r>
      <w:bookmarkEnd w:id="24"/>
    </w:p>
    <w:p w14:paraId="03498539" w14:textId="77777777" w:rsidR="00A35509" w:rsidRPr="008270B7" w:rsidRDefault="00A35509" w:rsidP="008270B7">
      <w:pPr>
        <w:tabs>
          <w:tab w:val="left" w:pos="720"/>
          <w:tab w:val="left" w:pos="1064"/>
          <w:tab w:val="left" w:pos="2057"/>
        </w:tabs>
        <w:ind w:right="51"/>
        <w:jc w:val="both"/>
        <w:rPr>
          <w:rFonts w:cs="Arial"/>
          <w:sz w:val="16"/>
          <w:szCs w:val="16"/>
        </w:rPr>
      </w:pPr>
    </w:p>
    <w:p w14:paraId="36888A8A" w14:textId="77777777" w:rsidR="00A35509" w:rsidRPr="008270B7" w:rsidRDefault="00A35509" w:rsidP="008270B7">
      <w:pPr>
        <w:tabs>
          <w:tab w:val="left" w:pos="720"/>
          <w:tab w:val="left" w:pos="1064"/>
          <w:tab w:val="left" w:pos="2057"/>
        </w:tabs>
        <w:ind w:right="51"/>
        <w:jc w:val="both"/>
        <w:rPr>
          <w:rFonts w:cs="Arial"/>
          <w:sz w:val="16"/>
          <w:szCs w:val="16"/>
        </w:rPr>
      </w:pPr>
      <w:r w:rsidRPr="008270B7">
        <w:rPr>
          <w:rFonts w:cs="Arial"/>
          <w:sz w:val="16"/>
          <w:szCs w:val="16"/>
        </w:rPr>
        <w:t>De conformidad con lo dispuesto en el art. 48 de la Constitución Política, en el art. 87 de la Ley 1328 de 2009 y en el Decreto 0604 de 2013, el servicio social complementario de beneficios económicos periódicos - BEPS permite mediante la contratación de una anualidad vitalicia, conceder beneficios económicos periódicos inferiores al salario mínimo mensual legal vigente, a aquellas personas que se encuentren vinculadas a la administradora del mecanismo BEPS y no cumplan con las condiciones requeridas para tener derecho a una pensión. En virtud de lo anterior, las aseguradoras de vida que decidan</w:t>
      </w:r>
      <w:r w:rsidRPr="008270B7">
        <w:rPr>
          <w:rFonts w:cs="Arial"/>
          <w:color w:val="000000"/>
          <w:sz w:val="16"/>
          <w:szCs w:val="16"/>
        </w:rPr>
        <w:t xml:space="preserve"> ofrecer la anualidad vitalicia mediante el ramo de seguros BEPS,</w:t>
      </w:r>
      <w:r w:rsidRPr="008270B7">
        <w:rPr>
          <w:rFonts w:cs="Arial"/>
          <w:sz w:val="16"/>
          <w:szCs w:val="16"/>
        </w:rPr>
        <w:t xml:space="preserve"> deben atender las siguientes instrucciones:</w:t>
      </w:r>
    </w:p>
    <w:p w14:paraId="2F3797C5" w14:textId="77777777" w:rsidR="00A35509" w:rsidRPr="008270B7" w:rsidRDefault="00A35509" w:rsidP="008270B7">
      <w:pPr>
        <w:tabs>
          <w:tab w:val="left" w:pos="720"/>
          <w:tab w:val="left" w:pos="1064"/>
          <w:tab w:val="left" w:pos="2057"/>
        </w:tabs>
        <w:ind w:right="51"/>
        <w:jc w:val="both"/>
        <w:rPr>
          <w:rFonts w:cs="Arial"/>
          <w:sz w:val="16"/>
          <w:szCs w:val="16"/>
        </w:rPr>
      </w:pPr>
    </w:p>
    <w:p w14:paraId="02C61D90" w14:textId="77777777" w:rsidR="00A35509" w:rsidRPr="008270B7" w:rsidRDefault="00A35509" w:rsidP="008270B7">
      <w:pPr>
        <w:tabs>
          <w:tab w:val="left" w:pos="720"/>
          <w:tab w:val="left" w:pos="1064"/>
          <w:tab w:val="left" w:pos="2057"/>
        </w:tabs>
        <w:ind w:right="51"/>
        <w:jc w:val="both"/>
        <w:rPr>
          <w:rFonts w:cs="Arial"/>
          <w:sz w:val="16"/>
          <w:szCs w:val="16"/>
        </w:rPr>
      </w:pPr>
      <w:r w:rsidRPr="008270B7">
        <w:rPr>
          <w:rFonts w:cs="Arial"/>
          <w:sz w:val="16"/>
          <w:szCs w:val="16"/>
        </w:rPr>
        <w:t xml:space="preserve">3.11.1. Nota técnica </w:t>
      </w:r>
    </w:p>
    <w:p w14:paraId="0568CB3F" w14:textId="77777777" w:rsidR="00A35509" w:rsidRPr="008270B7" w:rsidRDefault="00A35509" w:rsidP="008270B7">
      <w:pPr>
        <w:tabs>
          <w:tab w:val="left" w:pos="720"/>
          <w:tab w:val="left" w:pos="1064"/>
          <w:tab w:val="left" w:pos="2057"/>
        </w:tabs>
        <w:ind w:right="51"/>
        <w:jc w:val="both"/>
        <w:rPr>
          <w:rFonts w:cs="Arial"/>
          <w:sz w:val="16"/>
          <w:szCs w:val="16"/>
        </w:rPr>
      </w:pPr>
    </w:p>
    <w:p w14:paraId="2049F0A1" w14:textId="77777777" w:rsidR="00A35509" w:rsidRPr="008270B7" w:rsidRDefault="00A35509" w:rsidP="008270B7">
      <w:pPr>
        <w:tabs>
          <w:tab w:val="left" w:pos="720"/>
          <w:tab w:val="left" w:pos="1064"/>
          <w:tab w:val="left" w:pos="2057"/>
        </w:tabs>
        <w:ind w:right="51"/>
        <w:jc w:val="both"/>
        <w:rPr>
          <w:rFonts w:cs="Arial"/>
          <w:sz w:val="16"/>
          <w:szCs w:val="16"/>
        </w:rPr>
      </w:pPr>
      <w:r w:rsidRPr="008270B7">
        <w:rPr>
          <w:rFonts w:cs="Arial"/>
          <w:sz w:val="16"/>
          <w:szCs w:val="16"/>
        </w:rPr>
        <w:t>De conformidad con las facultades otorgadas a esta Superintendencia en el art. 24 A del Decreto 0604 de 2013, se adopta la nota técnica para el ramo de seguros BEPS en el anexo 9 del presente Capítulo, la cual describe y sustenta la metodología utilizada para el cálculo de las primas y reservas técnicas del ramo.</w:t>
      </w:r>
    </w:p>
    <w:p w14:paraId="4FA1188F" w14:textId="77777777" w:rsidR="00A35509" w:rsidRPr="008270B7" w:rsidRDefault="00A35509" w:rsidP="008270B7">
      <w:pPr>
        <w:tabs>
          <w:tab w:val="left" w:pos="720"/>
          <w:tab w:val="left" w:pos="1064"/>
          <w:tab w:val="left" w:pos="2057"/>
        </w:tabs>
        <w:ind w:right="51"/>
        <w:jc w:val="both"/>
        <w:rPr>
          <w:rFonts w:cs="Arial"/>
          <w:sz w:val="16"/>
          <w:szCs w:val="16"/>
        </w:rPr>
      </w:pPr>
    </w:p>
    <w:p w14:paraId="72380CDC" w14:textId="77777777" w:rsidR="00A35509" w:rsidRPr="008270B7" w:rsidRDefault="00A35509" w:rsidP="008270B7">
      <w:pPr>
        <w:tabs>
          <w:tab w:val="left" w:pos="720"/>
          <w:tab w:val="left" w:pos="1064"/>
          <w:tab w:val="left" w:pos="2057"/>
        </w:tabs>
        <w:ind w:right="51"/>
        <w:jc w:val="both"/>
        <w:rPr>
          <w:rFonts w:cs="Arial"/>
          <w:sz w:val="16"/>
          <w:szCs w:val="16"/>
        </w:rPr>
      </w:pPr>
      <w:r w:rsidRPr="008270B7">
        <w:rPr>
          <w:rFonts w:cs="Arial"/>
          <w:sz w:val="16"/>
          <w:szCs w:val="16"/>
        </w:rPr>
        <w:t>3.11.2. Autorización especial del ramo de seguro BEP</w:t>
      </w:r>
      <w:r w:rsidRPr="008270B7">
        <w:rPr>
          <w:rFonts w:cs="Arial"/>
          <w:color w:val="000000"/>
          <w:sz w:val="16"/>
          <w:szCs w:val="16"/>
        </w:rPr>
        <w:t>S</w:t>
      </w:r>
      <w:r w:rsidRPr="008270B7">
        <w:rPr>
          <w:rFonts w:cs="Arial"/>
          <w:sz w:val="16"/>
          <w:szCs w:val="16"/>
        </w:rPr>
        <w:t xml:space="preserve"> </w:t>
      </w:r>
    </w:p>
    <w:p w14:paraId="6B525373" w14:textId="77777777" w:rsidR="00A35509" w:rsidRPr="008270B7" w:rsidRDefault="00A35509" w:rsidP="008270B7">
      <w:pPr>
        <w:tabs>
          <w:tab w:val="left" w:pos="720"/>
          <w:tab w:val="left" w:pos="1064"/>
          <w:tab w:val="left" w:pos="2057"/>
        </w:tabs>
        <w:ind w:right="51"/>
        <w:jc w:val="both"/>
        <w:rPr>
          <w:rFonts w:cs="Arial"/>
          <w:sz w:val="16"/>
          <w:szCs w:val="16"/>
        </w:rPr>
      </w:pPr>
    </w:p>
    <w:p w14:paraId="5058429C" w14:textId="77777777" w:rsidR="00A35509" w:rsidRPr="008270B7" w:rsidRDefault="00A35509" w:rsidP="008270B7">
      <w:pPr>
        <w:tabs>
          <w:tab w:val="left" w:pos="720"/>
          <w:tab w:val="left" w:pos="1064"/>
          <w:tab w:val="left" w:pos="2057"/>
        </w:tabs>
        <w:ind w:right="51"/>
        <w:jc w:val="both"/>
        <w:rPr>
          <w:rFonts w:cs="Arial"/>
          <w:sz w:val="16"/>
          <w:szCs w:val="16"/>
        </w:rPr>
      </w:pPr>
      <w:r w:rsidRPr="008270B7">
        <w:rPr>
          <w:rFonts w:cs="Arial"/>
          <w:sz w:val="16"/>
          <w:szCs w:val="16"/>
        </w:rPr>
        <w:t xml:space="preserve">Las entidades aseguradoras de vida que tengan aprobado el ramo de seguros de pensiones Ley 100, no están obligadas a acreditar el cumplimiento de las reglas para la autorización de los ramos de seguros establecidas en la lista de chequeo en cuanto hace al estudio de mercado y a la incidencia técnica financiera y administrativa que ocasiona la apertura del ramo, </w:t>
      </w:r>
      <w:r w:rsidRPr="008270B7">
        <w:rPr>
          <w:rFonts w:cs="Arial"/>
          <w:color w:val="000000"/>
          <w:sz w:val="16"/>
          <w:szCs w:val="16"/>
        </w:rPr>
        <w:t xml:space="preserve">salvo lo dispuesto en </w:t>
      </w:r>
      <w:r w:rsidRPr="008270B7">
        <w:rPr>
          <w:rFonts w:cs="Arial"/>
          <w:sz w:val="16"/>
          <w:szCs w:val="16"/>
        </w:rPr>
        <w:t xml:space="preserve">cuanto a las proyecciones de los resultados esperados para los 3 primeros años de operación del producto y su incidencia en los indicadores de capital mínimo, margen de solvencia, patrimonio requerido por ramos y patrimonio técnico a que se refiere el numeral 4 de la lista de chequeo identificada con el código M-LC-AUT-027. </w:t>
      </w:r>
    </w:p>
    <w:p w14:paraId="650040CC" w14:textId="77777777" w:rsidR="00A35509" w:rsidRPr="008270B7" w:rsidRDefault="00A35509" w:rsidP="008270B7">
      <w:pPr>
        <w:tabs>
          <w:tab w:val="left" w:pos="720"/>
          <w:tab w:val="left" w:pos="1064"/>
          <w:tab w:val="left" w:pos="2057"/>
        </w:tabs>
        <w:ind w:right="51"/>
        <w:jc w:val="both"/>
        <w:rPr>
          <w:rFonts w:cs="Arial"/>
          <w:sz w:val="16"/>
          <w:szCs w:val="16"/>
        </w:rPr>
      </w:pPr>
    </w:p>
    <w:p w14:paraId="55C2C20D" w14:textId="77777777" w:rsidR="00A35509" w:rsidRPr="008270B7" w:rsidRDefault="00A35509" w:rsidP="008270B7">
      <w:pPr>
        <w:tabs>
          <w:tab w:val="left" w:pos="720"/>
          <w:tab w:val="left" w:pos="1064"/>
          <w:tab w:val="left" w:pos="2057"/>
        </w:tabs>
        <w:ind w:right="51"/>
        <w:jc w:val="both"/>
        <w:rPr>
          <w:rFonts w:cs="Arial"/>
          <w:color w:val="000000"/>
          <w:sz w:val="16"/>
          <w:szCs w:val="16"/>
        </w:rPr>
      </w:pPr>
      <w:r w:rsidRPr="008270B7">
        <w:rPr>
          <w:rFonts w:cs="Arial"/>
          <w:color w:val="000000"/>
          <w:sz w:val="16"/>
          <w:szCs w:val="16"/>
        </w:rPr>
        <w:t xml:space="preserve"> Las demás entidades aseguradoras deben atender el régimen general de autorización.</w:t>
      </w:r>
    </w:p>
    <w:p w14:paraId="2B9B54CD" w14:textId="77777777" w:rsidR="00A35509" w:rsidRPr="008270B7" w:rsidRDefault="00A35509" w:rsidP="008270B7">
      <w:pPr>
        <w:tabs>
          <w:tab w:val="left" w:pos="720"/>
          <w:tab w:val="left" w:pos="1064"/>
          <w:tab w:val="left" w:pos="2057"/>
        </w:tabs>
        <w:ind w:right="51"/>
        <w:jc w:val="both"/>
        <w:rPr>
          <w:rFonts w:cs="Arial"/>
          <w:sz w:val="16"/>
          <w:szCs w:val="16"/>
        </w:rPr>
      </w:pPr>
    </w:p>
    <w:p w14:paraId="0110FB6B" w14:textId="77777777" w:rsidR="00A35509" w:rsidRPr="008270B7" w:rsidRDefault="00A35509" w:rsidP="008270B7">
      <w:pPr>
        <w:tabs>
          <w:tab w:val="left" w:pos="720"/>
          <w:tab w:val="left" w:pos="1064"/>
          <w:tab w:val="left" w:pos="2057"/>
        </w:tabs>
        <w:ind w:right="356"/>
        <w:jc w:val="both"/>
        <w:rPr>
          <w:rFonts w:cs="Arial"/>
          <w:sz w:val="16"/>
          <w:szCs w:val="16"/>
        </w:rPr>
      </w:pPr>
      <w:r w:rsidRPr="008270B7">
        <w:rPr>
          <w:rFonts w:cs="Arial"/>
          <w:sz w:val="16"/>
          <w:szCs w:val="16"/>
        </w:rPr>
        <w:t>3.11.3. Condiciones generales de la póliza</w:t>
      </w:r>
    </w:p>
    <w:p w14:paraId="0389DB2B" w14:textId="77777777" w:rsidR="00A35509" w:rsidRPr="008270B7" w:rsidRDefault="00A35509" w:rsidP="008270B7">
      <w:pPr>
        <w:tabs>
          <w:tab w:val="left" w:pos="720"/>
          <w:tab w:val="left" w:pos="1064"/>
          <w:tab w:val="left" w:pos="2057"/>
        </w:tabs>
        <w:ind w:right="356"/>
        <w:jc w:val="both"/>
        <w:rPr>
          <w:rFonts w:cs="Arial"/>
          <w:sz w:val="16"/>
          <w:szCs w:val="16"/>
        </w:rPr>
      </w:pPr>
    </w:p>
    <w:p w14:paraId="5AA9A2F0" w14:textId="77777777" w:rsidR="00A35509" w:rsidRPr="008270B7" w:rsidRDefault="00A35509" w:rsidP="008270B7">
      <w:pPr>
        <w:tabs>
          <w:tab w:val="left" w:pos="720"/>
        </w:tabs>
        <w:jc w:val="both"/>
        <w:rPr>
          <w:rFonts w:cs="Arial"/>
          <w:sz w:val="16"/>
          <w:szCs w:val="16"/>
        </w:rPr>
      </w:pPr>
      <w:r w:rsidRPr="008270B7">
        <w:rPr>
          <w:rFonts w:cs="Arial"/>
          <w:sz w:val="16"/>
          <w:szCs w:val="16"/>
        </w:rPr>
        <w:t xml:space="preserve">En desarrollo de la previsión contenida en el numeral 2 del art. 184 del EOSF, y para garantizar el cumplimiento de lo dispuesto en el numeral 1 del art. 12 del Decreto 0604 de 2013, a </w:t>
      </w:r>
      <w:proofErr w:type="gramStart"/>
      <w:r w:rsidRPr="008270B7">
        <w:rPr>
          <w:rFonts w:cs="Arial"/>
          <w:sz w:val="16"/>
          <w:szCs w:val="16"/>
        </w:rPr>
        <w:t>continuación</w:t>
      </w:r>
      <w:proofErr w:type="gramEnd"/>
      <w:r w:rsidRPr="008270B7">
        <w:rPr>
          <w:rFonts w:cs="Arial"/>
          <w:sz w:val="16"/>
          <w:szCs w:val="16"/>
        </w:rPr>
        <w:t xml:space="preserve"> se establecen los requisitos que deben reunir las pólizas del ramo de seguro BEPS: </w:t>
      </w:r>
    </w:p>
    <w:p w14:paraId="38DCBDDE" w14:textId="77777777" w:rsidR="00A35509" w:rsidRPr="008270B7" w:rsidRDefault="00A35509" w:rsidP="008270B7">
      <w:pPr>
        <w:tabs>
          <w:tab w:val="left" w:pos="720"/>
        </w:tabs>
        <w:jc w:val="both"/>
        <w:rPr>
          <w:rFonts w:cs="Arial"/>
          <w:sz w:val="16"/>
          <w:szCs w:val="16"/>
        </w:rPr>
      </w:pPr>
    </w:p>
    <w:p w14:paraId="076CBEBA" w14:textId="77777777" w:rsidR="00A35509" w:rsidRPr="008270B7" w:rsidRDefault="00A35509" w:rsidP="008270B7">
      <w:pPr>
        <w:tabs>
          <w:tab w:val="left" w:pos="720"/>
        </w:tabs>
        <w:jc w:val="both"/>
        <w:rPr>
          <w:rFonts w:cs="Arial"/>
          <w:sz w:val="16"/>
          <w:szCs w:val="16"/>
        </w:rPr>
      </w:pPr>
      <w:r w:rsidRPr="008270B7">
        <w:rPr>
          <w:rFonts w:cs="Arial"/>
          <w:sz w:val="16"/>
          <w:szCs w:val="16"/>
        </w:rPr>
        <w:t xml:space="preserve">3.11.3.1 Definiciones. </w:t>
      </w:r>
    </w:p>
    <w:p w14:paraId="71DD8736" w14:textId="77777777" w:rsidR="00A35509" w:rsidRPr="008270B7" w:rsidRDefault="00A35509" w:rsidP="008270B7">
      <w:pPr>
        <w:tabs>
          <w:tab w:val="left" w:pos="720"/>
        </w:tabs>
        <w:jc w:val="both"/>
        <w:rPr>
          <w:rFonts w:cs="Arial"/>
          <w:sz w:val="16"/>
          <w:szCs w:val="16"/>
        </w:rPr>
      </w:pPr>
    </w:p>
    <w:p w14:paraId="5A9911CF" w14:textId="77777777" w:rsidR="00A35509" w:rsidRPr="008270B7" w:rsidRDefault="00A35509" w:rsidP="008270B7">
      <w:pPr>
        <w:tabs>
          <w:tab w:val="left" w:pos="720"/>
        </w:tabs>
        <w:jc w:val="both"/>
        <w:rPr>
          <w:rFonts w:cs="Arial"/>
          <w:sz w:val="16"/>
          <w:szCs w:val="16"/>
        </w:rPr>
      </w:pPr>
      <w:r w:rsidRPr="008270B7">
        <w:rPr>
          <w:rFonts w:cs="Arial"/>
          <w:sz w:val="16"/>
          <w:szCs w:val="16"/>
        </w:rPr>
        <w:t>Para efectos del presente seguro se entiende por:</w:t>
      </w:r>
    </w:p>
    <w:p w14:paraId="3D4D2152" w14:textId="77777777" w:rsidR="00A35509" w:rsidRPr="008270B7" w:rsidRDefault="00A35509" w:rsidP="008270B7">
      <w:pPr>
        <w:tabs>
          <w:tab w:val="left" w:pos="720"/>
        </w:tabs>
        <w:jc w:val="both"/>
        <w:rPr>
          <w:rFonts w:cs="Arial"/>
          <w:sz w:val="16"/>
          <w:szCs w:val="16"/>
        </w:rPr>
      </w:pPr>
    </w:p>
    <w:p w14:paraId="53040893" w14:textId="77777777" w:rsidR="00A35509" w:rsidRPr="008270B7" w:rsidRDefault="00A35509" w:rsidP="008270B7">
      <w:pPr>
        <w:tabs>
          <w:tab w:val="left" w:pos="720"/>
        </w:tabs>
        <w:jc w:val="both"/>
        <w:rPr>
          <w:rFonts w:cs="Arial"/>
          <w:sz w:val="16"/>
          <w:szCs w:val="16"/>
        </w:rPr>
      </w:pPr>
      <w:r w:rsidRPr="008270B7">
        <w:rPr>
          <w:rFonts w:cs="Arial"/>
          <w:sz w:val="16"/>
          <w:szCs w:val="16"/>
        </w:rPr>
        <w:t>3.11.3.1.1. Tomador, asegurado y beneficiario. La persona vinculada al servicio social complementario BEPS que cumpla los requisitos señalados en el art. 11 del Decreto 0604 de 2013 y opte por contratar una anualidad vitalicia en los términos del numeral 1 del art. 12 del Decreto 0604 de 2013.</w:t>
      </w:r>
    </w:p>
    <w:p w14:paraId="5CC9DBAC" w14:textId="77777777" w:rsidR="00A35509" w:rsidRPr="008270B7" w:rsidRDefault="00A35509" w:rsidP="008270B7">
      <w:pPr>
        <w:tabs>
          <w:tab w:val="left" w:pos="720"/>
        </w:tabs>
        <w:jc w:val="both"/>
        <w:rPr>
          <w:rFonts w:cs="Arial"/>
          <w:sz w:val="16"/>
          <w:szCs w:val="16"/>
        </w:rPr>
      </w:pPr>
    </w:p>
    <w:p w14:paraId="04D99325" w14:textId="77777777" w:rsidR="00A35509" w:rsidRPr="008270B7" w:rsidRDefault="00A35509" w:rsidP="008270B7">
      <w:pPr>
        <w:tabs>
          <w:tab w:val="left" w:pos="720"/>
        </w:tabs>
        <w:jc w:val="both"/>
        <w:rPr>
          <w:rFonts w:cs="Arial"/>
          <w:sz w:val="16"/>
          <w:szCs w:val="16"/>
        </w:rPr>
      </w:pPr>
      <w:r w:rsidRPr="008270B7">
        <w:rPr>
          <w:rFonts w:cs="Arial"/>
          <w:sz w:val="16"/>
          <w:szCs w:val="16"/>
        </w:rPr>
        <w:t>3.11.3.1.2. Amparo. En virtud del ramo BEPS la entidad aseguradora se obliga a pagar, bimestralmente y hasta la muerte del asegurado,</w:t>
      </w:r>
      <w:r w:rsidRPr="008270B7">
        <w:rPr>
          <w:rFonts w:cs="Arial"/>
          <w:color w:val="000000"/>
          <w:sz w:val="16"/>
          <w:szCs w:val="16"/>
        </w:rPr>
        <w:t xml:space="preserve"> </w:t>
      </w:r>
      <w:r w:rsidRPr="008270B7">
        <w:rPr>
          <w:rFonts w:cs="Arial"/>
          <w:sz w:val="16"/>
          <w:szCs w:val="16"/>
        </w:rPr>
        <w:t>el valor del beneficio económico periódico, de conformidad con lo previsto en el numeral 1 del art. 12 del Decreto 0604 de 2013.</w:t>
      </w:r>
    </w:p>
    <w:p w14:paraId="46FD4162" w14:textId="6179485A" w:rsidR="00A35509" w:rsidRPr="008270B7" w:rsidRDefault="00A35509" w:rsidP="008270B7">
      <w:pPr>
        <w:tabs>
          <w:tab w:val="left" w:pos="720"/>
        </w:tabs>
        <w:jc w:val="both"/>
        <w:rPr>
          <w:rFonts w:cs="Arial"/>
          <w:sz w:val="16"/>
          <w:szCs w:val="16"/>
        </w:rPr>
        <w:sectPr w:rsidR="00A35509" w:rsidRPr="008270B7" w:rsidSect="00A35509">
          <w:footerReference w:type="default" r:id="rId91"/>
          <w:pgSz w:w="12240" w:h="18720" w:code="257"/>
          <w:pgMar w:top="1417" w:right="1701" w:bottom="1276" w:left="1701" w:header="709" w:footer="449" w:gutter="0"/>
          <w:pgNumType w:start="31"/>
          <w:cols w:space="708"/>
          <w:docGrid w:linePitch="360"/>
        </w:sectPr>
      </w:pPr>
    </w:p>
    <w:p w14:paraId="7CC215A7" w14:textId="77777777" w:rsidR="00A35509" w:rsidRPr="008270B7" w:rsidRDefault="00A35509" w:rsidP="008270B7">
      <w:pPr>
        <w:tabs>
          <w:tab w:val="left" w:pos="720"/>
        </w:tabs>
        <w:jc w:val="both"/>
        <w:rPr>
          <w:rFonts w:cs="Arial"/>
          <w:sz w:val="16"/>
          <w:szCs w:val="16"/>
        </w:rPr>
      </w:pPr>
    </w:p>
    <w:p w14:paraId="3CC5ABB1" w14:textId="77777777" w:rsidR="00A35509" w:rsidRPr="008270B7" w:rsidRDefault="00A35509" w:rsidP="008270B7">
      <w:pPr>
        <w:tabs>
          <w:tab w:val="left" w:pos="720"/>
        </w:tabs>
        <w:jc w:val="both"/>
        <w:rPr>
          <w:rFonts w:cs="Arial"/>
          <w:sz w:val="16"/>
          <w:szCs w:val="16"/>
        </w:rPr>
      </w:pPr>
    </w:p>
    <w:p w14:paraId="0658813E" w14:textId="77777777" w:rsidR="00A35509" w:rsidRPr="008270B7" w:rsidRDefault="00A35509" w:rsidP="008270B7">
      <w:pPr>
        <w:tabs>
          <w:tab w:val="left" w:pos="720"/>
        </w:tabs>
        <w:jc w:val="both"/>
        <w:rPr>
          <w:rFonts w:cs="Arial"/>
          <w:sz w:val="16"/>
          <w:szCs w:val="16"/>
        </w:rPr>
      </w:pPr>
      <w:r w:rsidRPr="008270B7">
        <w:rPr>
          <w:rFonts w:cs="Arial"/>
          <w:sz w:val="16"/>
          <w:szCs w:val="16"/>
        </w:rPr>
        <w:t xml:space="preserve">3.11.3.1.3. Exclusiones. </w:t>
      </w:r>
      <w:r w:rsidRPr="008270B7">
        <w:rPr>
          <w:rFonts w:cs="Arial"/>
          <w:sz w:val="16"/>
          <w:szCs w:val="16"/>
          <w:lang w:val="es-CO"/>
        </w:rPr>
        <w:t>La anualidad vitalicia no está sujeta a ninguna exclusión.</w:t>
      </w:r>
      <w:r w:rsidRPr="008270B7">
        <w:rPr>
          <w:rFonts w:cs="Arial"/>
          <w:sz w:val="16"/>
          <w:szCs w:val="16"/>
        </w:rPr>
        <w:t xml:space="preserve"> </w:t>
      </w:r>
    </w:p>
    <w:p w14:paraId="0C62D622" w14:textId="77777777" w:rsidR="00A35509" w:rsidRPr="008270B7" w:rsidRDefault="00A35509" w:rsidP="008270B7">
      <w:pPr>
        <w:tabs>
          <w:tab w:val="left" w:pos="720"/>
        </w:tabs>
        <w:jc w:val="both"/>
        <w:rPr>
          <w:rFonts w:cs="Arial"/>
          <w:sz w:val="16"/>
          <w:szCs w:val="16"/>
        </w:rPr>
      </w:pPr>
    </w:p>
    <w:p w14:paraId="46BD8914" w14:textId="77777777" w:rsidR="00A35509" w:rsidRPr="008270B7" w:rsidRDefault="00A35509" w:rsidP="008270B7">
      <w:pPr>
        <w:tabs>
          <w:tab w:val="left" w:pos="720"/>
        </w:tabs>
        <w:jc w:val="both"/>
        <w:rPr>
          <w:rFonts w:cs="Arial"/>
          <w:sz w:val="16"/>
          <w:szCs w:val="16"/>
        </w:rPr>
      </w:pPr>
      <w:r w:rsidRPr="008270B7">
        <w:rPr>
          <w:rFonts w:cs="Arial"/>
          <w:sz w:val="16"/>
          <w:szCs w:val="16"/>
        </w:rPr>
        <w:t>3.11.3.1.4. Reajuste de valores. El beneficio económico periódico que otorga la póliza debe reajustarse cada año de acuerdo con la variación porcentual del IPC certificado por el DANE para el año inmediatamente anterior, tal como lo dispone el numeral 1 del art. 12 del Decreto 0604 de 2013.</w:t>
      </w:r>
    </w:p>
    <w:p w14:paraId="70409CFA" w14:textId="77777777" w:rsidR="00A35509" w:rsidRPr="008270B7" w:rsidRDefault="00A35509" w:rsidP="008270B7">
      <w:pPr>
        <w:tabs>
          <w:tab w:val="left" w:pos="720"/>
        </w:tabs>
        <w:jc w:val="both"/>
        <w:rPr>
          <w:rFonts w:cs="Arial"/>
          <w:sz w:val="16"/>
          <w:szCs w:val="16"/>
        </w:rPr>
      </w:pPr>
    </w:p>
    <w:p w14:paraId="79D3256B" w14:textId="77777777" w:rsidR="00A35509" w:rsidRPr="008270B7" w:rsidRDefault="00A35509" w:rsidP="008270B7">
      <w:pPr>
        <w:tabs>
          <w:tab w:val="left" w:pos="720"/>
        </w:tabs>
        <w:jc w:val="both"/>
        <w:rPr>
          <w:rFonts w:cs="Arial"/>
          <w:sz w:val="16"/>
          <w:szCs w:val="16"/>
        </w:rPr>
      </w:pPr>
      <w:r w:rsidRPr="008270B7">
        <w:rPr>
          <w:rFonts w:cs="Arial"/>
          <w:sz w:val="16"/>
          <w:szCs w:val="16"/>
        </w:rPr>
        <w:t>3.11.3.1.5. Prima. La prima es única pagadera por una sola vez por la entidad administradora del mecanismo BEPS. La prima pura se debe sufragar con cargo a los recursos ahorrados, los rendimientos generados, el subsidio periódico otorgado por el Estado, y si es del caso, los recursos que se tengan en el SGP a título de indemnización sustitutiva o devolución de saldos, según el régimen al cual se encuentre afiliado. Los costos de administración deben ser sufragados con cargo al presupuesto general de la Nación</w:t>
      </w:r>
    </w:p>
    <w:p w14:paraId="344F6ACA" w14:textId="77777777" w:rsidR="00A35509" w:rsidRPr="008270B7" w:rsidRDefault="00A35509" w:rsidP="008270B7">
      <w:pPr>
        <w:tabs>
          <w:tab w:val="left" w:pos="720"/>
        </w:tabs>
        <w:jc w:val="both"/>
        <w:rPr>
          <w:rFonts w:cs="Arial"/>
          <w:sz w:val="16"/>
          <w:szCs w:val="16"/>
        </w:rPr>
      </w:pPr>
    </w:p>
    <w:p w14:paraId="65C09708" w14:textId="77777777" w:rsidR="00A35509" w:rsidRPr="008270B7" w:rsidRDefault="00A35509" w:rsidP="008270B7">
      <w:pPr>
        <w:tabs>
          <w:tab w:val="left" w:pos="720"/>
        </w:tabs>
        <w:jc w:val="both"/>
        <w:rPr>
          <w:rFonts w:cs="Arial"/>
          <w:sz w:val="16"/>
          <w:szCs w:val="16"/>
        </w:rPr>
      </w:pPr>
      <w:r w:rsidRPr="008270B7">
        <w:rPr>
          <w:rFonts w:cs="Arial"/>
          <w:sz w:val="16"/>
          <w:szCs w:val="16"/>
        </w:rPr>
        <w:t>En el cálculo del beneficio no se incluyen los gastos derivados de la contratación del seguro, ni los costos asociados a la administración de la anualidad vitalicia.</w:t>
      </w:r>
    </w:p>
    <w:p w14:paraId="286EEAF8" w14:textId="77777777" w:rsidR="00A35509" w:rsidRPr="008270B7" w:rsidRDefault="00A35509" w:rsidP="008270B7">
      <w:pPr>
        <w:tabs>
          <w:tab w:val="left" w:pos="720"/>
        </w:tabs>
        <w:jc w:val="both"/>
        <w:rPr>
          <w:rFonts w:cs="Arial"/>
          <w:sz w:val="16"/>
          <w:szCs w:val="16"/>
        </w:rPr>
      </w:pPr>
    </w:p>
    <w:p w14:paraId="4238F67F" w14:textId="77777777" w:rsidR="00A35509" w:rsidRPr="008270B7" w:rsidRDefault="00A35509" w:rsidP="008270B7">
      <w:pPr>
        <w:tabs>
          <w:tab w:val="left" w:pos="720"/>
        </w:tabs>
        <w:jc w:val="both"/>
        <w:rPr>
          <w:rFonts w:cs="Arial"/>
          <w:sz w:val="16"/>
          <w:szCs w:val="16"/>
        </w:rPr>
      </w:pPr>
      <w:r w:rsidRPr="008270B7">
        <w:rPr>
          <w:rFonts w:cs="Arial"/>
          <w:sz w:val="16"/>
          <w:szCs w:val="16"/>
        </w:rPr>
        <w:t xml:space="preserve">La prima no puede incluir ningún monto destinado al pago de comisiones de intermediación de seguros en virtud de lo señalado en el parágrafo 1 del art. 12 </w:t>
      </w:r>
      <w:proofErr w:type="spellStart"/>
      <w:r w:rsidRPr="008270B7">
        <w:rPr>
          <w:rFonts w:cs="Arial"/>
          <w:sz w:val="16"/>
          <w:szCs w:val="16"/>
        </w:rPr>
        <w:t>ibídem</w:t>
      </w:r>
      <w:proofErr w:type="spellEnd"/>
      <w:r w:rsidRPr="008270B7">
        <w:rPr>
          <w:rFonts w:cs="Arial"/>
          <w:sz w:val="16"/>
          <w:szCs w:val="16"/>
        </w:rPr>
        <w:t>.</w:t>
      </w:r>
    </w:p>
    <w:p w14:paraId="1E554E24" w14:textId="77777777" w:rsidR="00A35509" w:rsidRPr="008270B7" w:rsidRDefault="00A35509" w:rsidP="008270B7">
      <w:pPr>
        <w:tabs>
          <w:tab w:val="left" w:pos="720"/>
        </w:tabs>
        <w:jc w:val="both"/>
        <w:rPr>
          <w:rFonts w:cs="Arial"/>
          <w:sz w:val="16"/>
          <w:szCs w:val="16"/>
        </w:rPr>
      </w:pPr>
    </w:p>
    <w:p w14:paraId="49A3730D" w14:textId="77777777" w:rsidR="00A35509" w:rsidRPr="008270B7" w:rsidRDefault="00A35509" w:rsidP="008270B7">
      <w:pPr>
        <w:tabs>
          <w:tab w:val="left" w:pos="720"/>
        </w:tabs>
        <w:jc w:val="both"/>
        <w:rPr>
          <w:rFonts w:cs="Arial"/>
          <w:sz w:val="16"/>
          <w:szCs w:val="16"/>
        </w:rPr>
      </w:pPr>
      <w:r w:rsidRPr="008270B7">
        <w:rPr>
          <w:rFonts w:cs="Arial"/>
          <w:sz w:val="16"/>
          <w:szCs w:val="16"/>
        </w:rPr>
        <w:t xml:space="preserve">3.11.3.1.6. Pago del beneficio económico periódico. El beneficio que se devengue en virtud de esta póliza se paga en forma bimestral, el día y lugar que establezca la entidad aseguradora, sin embargo, el tiempo transcurrido entre la fecha de emisión de la póliza y la fecha del primer pago no puede ser superior a 2 meses. En ningún caso, pueden devengarse intereses ni reajustes por atrasos en el cobro del beneficio que sean imputables al asegurado. </w:t>
      </w:r>
    </w:p>
    <w:p w14:paraId="1E818780" w14:textId="77777777" w:rsidR="00A35509" w:rsidRPr="008270B7" w:rsidRDefault="00A35509" w:rsidP="008270B7">
      <w:pPr>
        <w:tabs>
          <w:tab w:val="left" w:pos="720"/>
        </w:tabs>
        <w:jc w:val="both"/>
        <w:rPr>
          <w:rFonts w:cs="Arial"/>
          <w:sz w:val="16"/>
          <w:szCs w:val="16"/>
        </w:rPr>
      </w:pPr>
    </w:p>
    <w:p w14:paraId="6A3801CE" w14:textId="77777777" w:rsidR="00A35509" w:rsidRPr="008270B7" w:rsidRDefault="00A35509" w:rsidP="008270B7">
      <w:pPr>
        <w:tabs>
          <w:tab w:val="left" w:pos="720"/>
        </w:tabs>
        <w:jc w:val="both"/>
        <w:rPr>
          <w:rFonts w:cs="Arial"/>
          <w:sz w:val="16"/>
          <w:szCs w:val="16"/>
        </w:rPr>
      </w:pPr>
      <w:r w:rsidRPr="008270B7">
        <w:rPr>
          <w:rFonts w:cs="Arial"/>
          <w:sz w:val="16"/>
          <w:szCs w:val="16"/>
        </w:rPr>
        <w:t>3.11.3.1.7. Fecha de vigencia. Este seguro tiene vigencia a partir de la fecha de emisión de la póliza, previo pago de la prima por parte de la administradora del mecanismo BEPS a la respectiva entidad aseguradora.</w:t>
      </w:r>
    </w:p>
    <w:p w14:paraId="01AA208B" w14:textId="77777777" w:rsidR="00A35509" w:rsidRPr="008270B7" w:rsidRDefault="00A35509" w:rsidP="008270B7">
      <w:pPr>
        <w:tabs>
          <w:tab w:val="left" w:pos="720"/>
        </w:tabs>
        <w:jc w:val="both"/>
        <w:rPr>
          <w:rFonts w:cs="Arial"/>
          <w:sz w:val="16"/>
          <w:szCs w:val="16"/>
        </w:rPr>
      </w:pPr>
    </w:p>
    <w:p w14:paraId="76AF2CC4" w14:textId="77777777" w:rsidR="00A35509" w:rsidRPr="008270B7" w:rsidRDefault="00A35509" w:rsidP="008270B7">
      <w:pPr>
        <w:tabs>
          <w:tab w:val="left" w:pos="720"/>
        </w:tabs>
        <w:jc w:val="both"/>
        <w:rPr>
          <w:rFonts w:cs="Arial"/>
          <w:sz w:val="16"/>
          <w:szCs w:val="16"/>
        </w:rPr>
      </w:pPr>
      <w:r w:rsidRPr="008270B7">
        <w:rPr>
          <w:rFonts w:cs="Arial"/>
          <w:sz w:val="16"/>
          <w:szCs w:val="16"/>
        </w:rPr>
        <w:t>3.11.3.1.8. Irrevocabilidad. Sin perjuicio de lo dispuesto en el EOSF sobre cesión de activos, pasivos y contratos y demás normas relativas al funcionamiento de las instituciones financieras, ninguna de las partes puede poner término anticipado al contrato de seguro BEPS, el cual debe permanecer vigente hasta la muerte del asegurado.</w:t>
      </w:r>
      <w:r w:rsidRPr="008270B7" w:rsidDel="00756E43">
        <w:rPr>
          <w:rFonts w:cs="Arial"/>
          <w:sz w:val="16"/>
          <w:szCs w:val="16"/>
        </w:rPr>
        <w:t xml:space="preserve"> </w:t>
      </w:r>
    </w:p>
    <w:p w14:paraId="395544DB" w14:textId="77777777" w:rsidR="00A35509" w:rsidRPr="008270B7" w:rsidRDefault="00A35509" w:rsidP="008270B7">
      <w:pPr>
        <w:tabs>
          <w:tab w:val="left" w:pos="720"/>
        </w:tabs>
        <w:jc w:val="both"/>
        <w:rPr>
          <w:rFonts w:cs="Arial"/>
          <w:sz w:val="16"/>
          <w:szCs w:val="16"/>
        </w:rPr>
      </w:pPr>
    </w:p>
    <w:p w14:paraId="173F48EC" w14:textId="77777777" w:rsidR="00A35509" w:rsidRPr="008270B7" w:rsidRDefault="00A35509" w:rsidP="008270B7">
      <w:pPr>
        <w:jc w:val="both"/>
        <w:rPr>
          <w:rFonts w:cs="Arial"/>
          <w:sz w:val="16"/>
          <w:szCs w:val="16"/>
          <w:lang w:val="es-MX"/>
        </w:rPr>
      </w:pPr>
      <w:r w:rsidRPr="008270B7">
        <w:rPr>
          <w:rFonts w:cs="Arial"/>
          <w:color w:val="000000"/>
          <w:sz w:val="16"/>
          <w:szCs w:val="16"/>
        </w:rPr>
        <w:t xml:space="preserve">3.11.3.1.9. </w:t>
      </w:r>
      <w:r w:rsidRPr="008270B7">
        <w:rPr>
          <w:rFonts w:cs="Arial"/>
          <w:sz w:val="16"/>
          <w:szCs w:val="16"/>
        </w:rPr>
        <w:t>Prohibición de beneficios adicionales. Los recursos ahorrados dentro del mecanismo BEPS, el valor de sus rendimientos, el subsidio periódico otorgado por el Estado, según el caso, y los aportes que eventualmente el beneficiario tenga en el SGP, tienen una destinación específica bajo los postulados del Decreto 0604 de 2013, por consiguiente, no es viable la destinación de dichos recursos al financiamiento de otros beneficios o cobertura.</w:t>
      </w:r>
    </w:p>
    <w:p w14:paraId="79F2297C" w14:textId="77777777" w:rsidR="00026038" w:rsidRPr="008270B7" w:rsidRDefault="00026038" w:rsidP="008270B7">
      <w:pPr>
        <w:tabs>
          <w:tab w:val="left" w:pos="720"/>
          <w:tab w:val="left" w:pos="1064"/>
          <w:tab w:val="left" w:pos="2057"/>
          <w:tab w:val="left" w:pos="8789"/>
        </w:tabs>
        <w:ind w:right="51"/>
        <w:jc w:val="both"/>
        <w:rPr>
          <w:rFonts w:cs="Arial"/>
          <w:sz w:val="16"/>
          <w:szCs w:val="16"/>
        </w:rPr>
      </w:pPr>
    </w:p>
    <w:p w14:paraId="5A2E8051" w14:textId="77777777" w:rsidR="006E283D" w:rsidRPr="008270B7" w:rsidRDefault="006E283D" w:rsidP="008270B7">
      <w:pPr>
        <w:tabs>
          <w:tab w:val="left" w:pos="720"/>
          <w:tab w:val="left" w:pos="1064"/>
          <w:tab w:val="left" w:pos="2057"/>
          <w:tab w:val="left" w:pos="8789"/>
        </w:tabs>
        <w:ind w:right="51"/>
        <w:jc w:val="both"/>
        <w:rPr>
          <w:rFonts w:cs="Arial"/>
          <w:sz w:val="16"/>
          <w:szCs w:val="16"/>
        </w:rPr>
        <w:sectPr w:rsidR="006E283D" w:rsidRPr="008270B7" w:rsidSect="00A35509">
          <w:headerReference w:type="first" r:id="rId92"/>
          <w:footerReference w:type="first" r:id="rId93"/>
          <w:pgSz w:w="12240" w:h="18720" w:code="257"/>
          <w:pgMar w:top="1417" w:right="1701" w:bottom="1417" w:left="1701" w:header="709" w:footer="865" w:gutter="0"/>
          <w:pgNumType w:start="29"/>
          <w:cols w:space="708"/>
          <w:titlePg/>
          <w:docGrid w:linePitch="360"/>
        </w:sectPr>
      </w:pPr>
    </w:p>
    <w:p w14:paraId="512FAF21"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lastRenderedPageBreak/>
        <w:t>3.12. Reglas aplicables a la póliza de seriedad de la candidatura</w:t>
      </w:r>
    </w:p>
    <w:p w14:paraId="2D5E5C35"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18042137"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Las entidades aseguradoras que comercialicen pólizas de seriedad de la candidatura a las que se refiere el art. 9 de la Ley 130 de 1994 deben:</w:t>
      </w:r>
    </w:p>
    <w:p w14:paraId="717B0B27"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1867BEA6"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3.12.1. Establecer los requisitos generales para el otorgamiento de estas pólizas, los cuales deben atender criterios de viabilidad y proporcionalidad para el tomador y ser de conocimiento de sus funcionarios. Así mismo, deben publicar en un lugar visible y de fácil acceso de su página web tal información.</w:t>
      </w:r>
    </w:p>
    <w:p w14:paraId="5F0993EF"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0D7D296B"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3.12.2. Abstenerse de exigir como requisito para esta clase de pólizas la constitución de contragarantías de cualquier naturaleza por el riesgo asegurable. </w:t>
      </w:r>
    </w:p>
    <w:p w14:paraId="15AAAF70"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50190CB1" w14:textId="77777777" w:rsidR="00F17D60" w:rsidRPr="008270B7" w:rsidRDefault="00F17D60" w:rsidP="008270B7">
      <w:pPr>
        <w:jc w:val="both"/>
        <w:rPr>
          <w:rFonts w:cs="Arial"/>
          <w:sz w:val="16"/>
          <w:szCs w:val="16"/>
        </w:rPr>
      </w:pPr>
      <w:r w:rsidRPr="008270B7">
        <w:rPr>
          <w:rFonts w:cs="Arial"/>
          <w:sz w:val="16"/>
          <w:szCs w:val="16"/>
        </w:rPr>
        <w:t>3.12.3. Las entidades aseguradoras cuentan un plazo máximo de 10 días hábiles para pronunciarse de forma definitiva respecto de la solicitud de la póliza de seriedad de la candidatura y respecto de los términos asociados a la misma.</w:t>
      </w:r>
    </w:p>
    <w:p w14:paraId="6C08B432" w14:textId="77777777" w:rsidR="00F17D60" w:rsidRPr="008270B7" w:rsidRDefault="00F17D60" w:rsidP="008270B7">
      <w:pPr>
        <w:jc w:val="both"/>
        <w:rPr>
          <w:rFonts w:cs="Arial"/>
          <w:sz w:val="16"/>
          <w:szCs w:val="16"/>
        </w:rPr>
      </w:pPr>
    </w:p>
    <w:p w14:paraId="24F5D076" w14:textId="77777777" w:rsidR="00F17D60" w:rsidRPr="008270B7" w:rsidRDefault="00F17D60" w:rsidP="008270B7">
      <w:pPr>
        <w:jc w:val="both"/>
        <w:rPr>
          <w:rFonts w:cs="Arial"/>
          <w:sz w:val="16"/>
          <w:szCs w:val="16"/>
        </w:rPr>
      </w:pPr>
      <w:r w:rsidRPr="008270B7">
        <w:rPr>
          <w:rFonts w:cs="Arial"/>
          <w:sz w:val="16"/>
          <w:szCs w:val="16"/>
        </w:rPr>
        <w:t>3.12.4. Disponer de un canal especial de atención al público a través del cual se tramiten y resuelvan las inquietudes y consultas relacionadas con el otorgamiento de estas pólizas. En adición a lo anterior, las entidades aseguradoras deben publicar, en un lugar visible y de fácil acceso en su página web y en su red de oficinas, la información clara y actualizada sobre este canal y la forma como operará el mismo.</w:t>
      </w:r>
    </w:p>
    <w:p w14:paraId="054B00BC" w14:textId="77777777" w:rsidR="00F17D60" w:rsidRPr="008270B7" w:rsidRDefault="00F17D60" w:rsidP="008270B7">
      <w:pPr>
        <w:tabs>
          <w:tab w:val="left" w:pos="720"/>
          <w:tab w:val="left" w:pos="1064"/>
          <w:tab w:val="left" w:pos="2057"/>
        </w:tabs>
        <w:ind w:right="356"/>
        <w:jc w:val="both"/>
        <w:rPr>
          <w:rFonts w:cs="Arial"/>
          <w:sz w:val="16"/>
          <w:szCs w:val="16"/>
        </w:rPr>
      </w:pPr>
    </w:p>
    <w:p w14:paraId="2967D2D0"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 Reglas aplicables al seguro de terremoto</w:t>
      </w:r>
    </w:p>
    <w:p w14:paraId="0F0F36FA"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55BCDE40" w14:textId="77777777" w:rsidR="00F17D60" w:rsidRPr="008270B7" w:rsidRDefault="00F17D60" w:rsidP="008270B7">
      <w:pPr>
        <w:jc w:val="both"/>
        <w:rPr>
          <w:rFonts w:cs="Arial"/>
          <w:sz w:val="16"/>
          <w:szCs w:val="16"/>
        </w:rPr>
      </w:pPr>
      <w:r w:rsidRPr="008270B7">
        <w:rPr>
          <w:rFonts w:cs="Arial"/>
          <w:sz w:val="16"/>
          <w:szCs w:val="16"/>
        </w:rPr>
        <w:t>3.13.1. Evento sísmico</w:t>
      </w:r>
    </w:p>
    <w:p w14:paraId="49A71763" w14:textId="77777777" w:rsidR="00F17D60" w:rsidRPr="008270B7" w:rsidRDefault="00F17D60" w:rsidP="008270B7">
      <w:pPr>
        <w:jc w:val="both"/>
        <w:rPr>
          <w:rFonts w:cs="Arial"/>
          <w:sz w:val="16"/>
          <w:szCs w:val="16"/>
        </w:rPr>
      </w:pPr>
    </w:p>
    <w:p w14:paraId="2A391E83" w14:textId="77777777" w:rsidR="00F17D60" w:rsidRPr="008270B7" w:rsidRDefault="00F17D60" w:rsidP="008270B7">
      <w:pPr>
        <w:jc w:val="both"/>
        <w:rPr>
          <w:rFonts w:cs="Arial"/>
          <w:sz w:val="16"/>
          <w:szCs w:val="16"/>
        </w:rPr>
      </w:pPr>
      <w:r w:rsidRPr="008270B7">
        <w:rPr>
          <w:rFonts w:cs="Arial"/>
          <w:sz w:val="16"/>
          <w:szCs w:val="16"/>
        </w:rPr>
        <w:t>Para la definición de evento sísmico establecida en el literal a) del art. 2.31.5.1.1. del Decreto 2555 de 2010, el periodo específico de referencia es de mínimo 72 horas.</w:t>
      </w:r>
    </w:p>
    <w:p w14:paraId="6C54507E" w14:textId="77777777" w:rsidR="00F17D60" w:rsidRPr="008270B7" w:rsidRDefault="00F17D60" w:rsidP="008270B7">
      <w:pPr>
        <w:jc w:val="both"/>
        <w:rPr>
          <w:rFonts w:cs="Arial"/>
          <w:sz w:val="16"/>
          <w:szCs w:val="16"/>
        </w:rPr>
      </w:pPr>
    </w:p>
    <w:p w14:paraId="79A0E7DB" w14:textId="77777777" w:rsidR="00F17D60" w:rsidRPr="008270B7" w:rsidRDefault="00F17D60" w:rsidP="008270B7">
      <w:pPr>
        <w:jc w:val="both"/>
        <w:rPr>
          <w:rFonts w:cs="Arial"/>
          <w:sz w:val="16"/>
          <w:szCs w:val="16"/>
        </w:rPr>
      </w:pPr>
      <w:r w:rsidRPr="008270B7">
        <w:rPr>
          <w:rFonts w:cs="Arial"/>
          <w:sz w:val="16"/>
          <w:szCs w:val="16"/>
        </w:rPr>
        <w:t>3.13.2. Plan Integral de Gestión de Terremoto</w:t>
      </w:r>
    </w:p>
    <w:p w14:paraId="2CEBC6F4" w14:textId="77777777" w:rsidR="00F17D60" w:rsidRPr="008270B7" w:rsidRDefault="00F17D60" w:rsidP="008270B7">
      <w:pPr>
        <w:jc w:val="both"/>
        <w:rPr>
          <w:rFonts w:cs="Arial"/>
          <w:sz w:val="16"/>
          <w:szCs w:val="16"/>
        </w:rPr>
      </w:pPr>
    </w:p>
    <w:p w14:paraId="6C3C44FF" w14:textId="77777777" w:rsidR="00F17D60" w:rsidRPr="008270B7" w:rsidRDefault="00F17D60" w:rsidP="008270B7">
      <w:pPr>
        <w:jc w:val="both"/>
        <w:rPr>
          <w:rFonts w:cs="Arial"/>
          <w:sz w:val="16"/>
          <w:szCs w:val="16"/>
        </w:rPr>
      </w:pPr>
      <w:r w:rsidRPr="008270B7">
        <w:rPr>
          <w:rFonts w:cs="Arial"/>
          <w:sz w:val="16"/>
          <w:szCs w:val="16"/>
        </w:rPr>
        <w:t xml:space="preserve">Las entidades aseguradoras que tengan autorización para comercializar el ramo de </w:t>
      </w:r>
      <w:proofErr w:type="gramStart"/>
      <w:r w:rsidRPr="008270B7">
        <w:rPr>
          <w:rFonts w:cs="Arial"/>
          <w:sz w:val="16"/>
          <w:szCs w:val="16"/>
        </w:rPr>
        <w:t>terremoto,</w:t>
      </w:r>
      <w:proofErr w:type="gramEnd"/>
      <w:r w:rsidRPr="008270B7">
        <w:rPr>
          <w:rFonts w:cs="Arial"/>
          <w:sz w:val="16"/>
          <w:szCs w:val="16"/>
        </w:rPr>
        <w:t xml:space="preserve"> deben diseñar e implementar un Plan Integral de Gestión de Terremoto (PIGT). El PIGT y sus respectivas modificaciones deben ser aprobadas por la junta directiva de la entidad aseguradora y estar a disposición de la SFC para su revisión. Cuando se realicen dichas modificaciones, la entidad aseguradora debe notificar a la SFC. Las modificaciones al PIGT deben estar debidamente justificadas y documentadas.</w:t>
      </w:r>
    </w:p>
    <w:p w14:paraId="5F2FD9FB" w14:textId="77777777" w:rsidR="00F17D60" w:rsidRPr="008270B7" w:rsidRDefault="00F17D60" w:rsidP="008270B7">
      <w:pPr>
        <w:jc w:val="both"/>
        <w:rPr>
          <w:rFonts w:cs="Arial"/>
          <w:sz w:val="16"/>
          <w:szCs w:val="16"/>
        </w:rPr>
      </w:pPr>
    </w:p>
    <w:p w14:paraId="49CA4906" w14:textId="77777777" w:rsidR="00F17D60" w:rsidRPr="008270B7" w:rsidRDefault="00F17D60" w:rsidP="008270B7">
      <w:pPr>
        <w:jc w:val="both"/>
        <w:rPr>
          <w:rFonts w:cs="Arial"/>
          <w:sz w:val="16"/>
          <w:szCs w:val="16"/>
        </w:rPr>
      </w:pPr>
      <w:r w:rsidRPr="008270B7">
        <w:rPr>
          <w:rFonts w:cs="Arial"/>
          <w:sz w:val="16"/>
          <w:szCs w:val="16"/>
        </w:rPr>
        <w:t xml:space="preserve">Toda la información, documentación, parámetros y supuestos del modelo empleado en la ejecución del PIGT deben ser conservados por un plazo mínimo de 5 años mediante cualquier medio que asegure su integridad. Durante este mismo periodo las entidades aseguradoras deben mantener a disposición de la SFC los datos de entrada del modelo y los resultados de la modelación de la cartera indicando la versión del software del modelo utilizado, con el fin de que la SFC lleve a cabo actividades de supervisión. Adicionalmente, se deben conservar por este mismo plazo las distintas versiones documentales del PIGT y todos los documentos que evidencien la ejecución, cumplimiento y resultados de las actividades incluidas en el PIGT tales como: i) recolección y verificación de la calidad de la información, </w:t>
      </w:r>
      <w:proofErr w:type="spellStart"/>
      <w:r w:rsidRPr="008270B7">
        <w:rPr>
          <w:rFonts w:cs="Arial"/>
          <w:sz w:val="16"/>
          <w:szCs w:val="16"/>
        </w:rPr>
        <w:t>ii</w:t>
      </w:r>
      <w:proofErr w:type="spellEnd"/>
      <w:r w:rsidRPr="008270B7">
        <w:rPr>
          <w:rFonts w:cs="Arial"/>
          <w:sz w:val="16"/>
          <w:szCs w:val="16"/>
        </w:rPr>
        <w:t>) ejecución de los procesos de modelación de la cartera, incluida la validación de las gestiones y procesos de los terceros asesores contratados para la modelación de la cartera, entre otras.</w:t>
      </w:r>
    </w:p>
    <w:p w14:paraId="70605906" w14:textId="77777777" w:rsidR="00F17D60" w:rsidRPr="008270B7" w:rsidRDefault="00F17D60" w:rsidP="008270B7">
      <w:pPr>
        <w:jc w:val="both"/>
        <w:rPr>
          <w:rFonts w:cs="Arial"/>
          <w:sz w:val="16"/>
          <w:szCs w:val="16"/>
        </w:rPr>
      </w:pPr>
    </w:p>
    <w:p w14:paraId="3B441FF5" w14:textId="77777777" w:rsidR="00F17D60" w:rsidRPr="008270B7" w:rsidRDefault="00F17D60" w:rsidP="008270B7">
      <w:pPr>
        <w:jc w:val="both"/>
        <w:rPr>
          <w:rFonts w:cs="Arial"/>
          <w:sz w:val="16"/>
          <w:szCs w:val="16"/>
        </w:rPr>
      </w:pPr>
      <w:r w:rsidRPr="008270B7">
        <w:rPr>
          <w:rFonts w:cs="Arial"/>
          <w:sz w:val="16"/>
          <w:szCs w:val="16"/>
        </w:rPr>
        <w:t>El PIGT debe ser actualizado por lo menos semestralmente, y contar con los siguientes elementos:</w:t>
      </w:r>
    </w:p>
    <w:p w14:paraId="3F8ADFAF"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4DB402B5"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3.13.2.1. Caracterización de los riesgos</w:t>
      </w:r>
    </w:p>
    <w:p w14:paraId="0DD8B432"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4D859EDB"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Las entidades aseguradoras deben</w:t>
      </w:r>
      <w:r w:rsidRPr="008270B7">
        <w:t xml:space="preserve"> </w:t>
      </w:r>
      <w:r w:rsidRPr="008270B7">
        <w:rPr>
          <w:rFonts w:cs="Arial"/>
          <w:sz w:val="16"/>
          <w:szCs w:val="16"/>
        </w:rPr>
        <w:t>recopilar la información relacionada con los seguros que cubren el riesgo de terremoto. La información mínima que deben recopilar es la indicada en el Formato 506 (Proforma F.3000-87).</w:t>
      </w:r>
    </w:p>
    <w:p w14:paraId="1A2C1658"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2861FF31"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Para bienes asegurados mediante pólizas del ramo de terremoto relacionadas con obras civiles, riesgos industriales, entre otros bienes diferentes de los susceptibles de reporte en el Formato 506 (Proforma F.3000-87) las entidades aseguradoras deben recopilar la siguiente información: i) valor asegurado; </w:t>
      </w:r>
      <w:proofErr w:type="spellStart"/>
      <w:r w:rsidRPr="008270B7">
        <w:rPr>
          <w:rFonts w:cs="Arial"/>
          <w:sz w:val="16"/>
          <w:szCs w:val="16"/>
        </w:rPr>
        <w:t>ii</w:t>
      </w:r>
      <w:proofErr w:type="spellEnd"/>
      <w:r w:rsidRPr="008270B7">
        <w:rPr>
          <w:rFonts w:cs="Arial"/>
          <w:sz w:val="16"/>
          <w:szCs w:val="16"/>
        </w:rPr>
        <w:t xml:space="preserve">) valor asegurable; </w:t>
      </w:r>
      <w:proofErr w:type="spellStart"/>
      <w:r w:rsidRPr="008270B7">
        <w:rPr>
          <w:rFonts w:cs="Arial"/>
          <w:sz w:val="16"/>
          <w:szCs w:val="16"/>
        </w:rPr>
        <w:t>iii</w:t>
      </w:r>
      <w:proofErr w:type="spellEnd"/>
      <w:r w:rsidRPr="008270B7">
        <w:rPr>
          <w:rFonts w:cs="Arial"/>
          <w:sz w:val="16"/>
          <w:szCs w:val="16"/>
        </w:rPr>
        <w:t xml:space="preserve">) ubicación (longitud y latitud); </w:t>
      </w:r>
      <w:proofErr w:type="spellStart"/>
      <w:r w:rsidRPr="008270B7">
        <w:rPr>
          <w:rFonts w:cs="Arial"/>
          <w:sz w:val="16"/>
          <w:szCs w:val="16"/>
        </w:rPr>
        <w:t>iv</w:t>
      </w:r>
      <w:proofErr w:type="spellEnd"/>
      <w:r w:rsidRPr="008270B7">
        <w:rPr>
          <w:rFonts w:cs="Arial"/>
          <w:sz w:val="16"/>
          <w:szCs w:val="16"/>
        </w:rPr>
        <w:t xml:space="preserve">) deducibles; v) porcentaje de coaseguro; vi) la fecha de inicio y fin de vigencia de la póliza; </w:t>
      </w:r>
      <w:proofErr w:type="spellStart"/>
      <w:r w:rsidRPr="008270B7">
        <w:rPr>
          <w:rFonts w:cs="Arial"/>
          <w:sz w:val="16"/>
          <w:szCs w:val="16"/>
        </w:rPr>
        <w:t>vii</w:t>
      </w:r>
      <w:proofErr w:type="spellEnd"/>
      <w:r w:rsidRPr="008270B7">
        <w:rPr>
          <w:rFonts w:cs="Arial"/>
          <w:sz w:val="16"/>
          <w:szCs w:val="16"/>
        </w:rPr>
        <w:t xml:space="preserve">) número de póliza, entre otros. En el caso de maquinaria que se encuentre en obra, la ubicación debe corresponder a la última conocida a la fecha de corte de la información. Esta información debe ser conservada por un plazo mínimo de 5 años mediante cualquier medio que asegure su integridad y debe permanecer a disposición de la SFC para su revisión. </w:t>
      </w:r>
    </w:p>
    <w:p w14:paraId="5287D0BE"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3F5FEFFA"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información que trata este </w:t>
      </w:r>
      <w:proofErr w:type="spellStart"/>
      <w:r w:rsidRPr="008270B7">
        <w:rPr>
          <w:rFonts w:cs="Arial"/>
          <w:sz w:val="16"/>
          <w:szCs w:val="16"/>
        </w:rPr>
        <w:t>subnumeral</w:t>
      </w:r>
      <w:proofErr w:type="spellEnd"/>
      <w:r w:rsidRPr="008270B7">
        <w:rPr>
          <w:rFonts w:cs="Arial"/>
          <w:sz w:val="16"/>
          <w:szCs w:val="16"/>
        </w:rPr>
        <w:t xml:space="preserve"> debe coincidir con la empleada y remitida a corredores de reaseguro y/o reaseguradores para la suscripción de contratos de reaseguro que cubran la pérdida máxima probable del ramo de terremoto. </w:t>
      </w:r>
    </w:p>
    <w:p w14:paraId="5E861353"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58A03842"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 Gestión de información</w:t>
      </w:r>
    </w:p>
    <w:p w14:paraId="159B2567"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7BF6A9B2"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Para garantizar una adecuada gestión del riesgo en el ramo de terremoto, las entidades aseguradoras deben desarrollar procedimientos que garanticen la calidad de la información para un adecuado cálculo de la pérdida máxima probable de la cartera (PMP). La entidad aseguradora debe implementar procesos que permitan la evaluación continua de la calidad de la información que obtiene a través de red propia y/o de terceros, sean estos contratistas, intermediarios de seguros, a través de contratos de uso de red, aseguradores en pólizas suscritas a través de coaseguro y aseguradores en riesgos aceptados en reaseguro, entre otros.</w:t>
      </w:r>
    </w:p>
    <w:p w14:paraId="40D9043B"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60841AEE"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En caso de que la entidad aseguradora no pueda completar la información relacionada en el inciso primero del </w:t>
      </w:r>
      <w:proofErr w:type="spellStart"/>
      <w:r w:rsidRPr="008270B7">
        <w:rPr>
          <w:rFonts w:cs="Arial"/>
          <w:sz w:val="16"/>
          <w:szCs w:val="16"/>
        </w:rPr>
        <w:t>subnumeral</w:t>
      </w:r>
      <w:proofErr w:type="spellEnd"/>
      <w:r w:rsidRPr="008270B7">
        <w:rPr>
          <w:rFonts w:cs="Arial"/>
          <w:sz w:val="16"/>
          <w:szCs w:val="16"/>
        </w:rPr>
        <w:t xml:space="preserve"> 3.13.2.1. de este Capítulo, debe incluir en el PIGT un informe de diagnóstico y un plan de recolección de información de los riesgos, el cual debe contener los siguientes elementos:</w:t>
      </w:r>
    </w:p>
    <w:p w14:paraId="470A11F3"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685F69EC"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 Caracterización de los riesgos con información incompleta</w:t>
      </w:r>
    </w:p>
    <w:p w14:paraId="2F6F69FD"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 </w:t>
      </w:r>
    </w:p>
    <w:p w14:paraId="6041CDEC"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Cuando la entidad aseguradora carezca de la información relacionada en el Formato 506 (Proforma F.3000-87), ésta debe construir un informe que contenga como mínimo lo siguiente:</w:t>
      </w:r>
    </w:p>
    <w:p w14:paraId="5785CDB8"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4331F6C4"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3.13.2.2.1.1. Información del número y valor asegurado de riesgos con información incompleta, la cual debe ser presentada como mínimo para las siguientes variables:</w:t>
      </w:r>
    </w:p>
    <w:p w14:paraId="6ED49EC2"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p>
    <w:p w14:paraId="6DDB6558" w14:textId="77777777" w:rsidR="00F17D60" w:rsidRPr="008270B7" w:rsidRDefault="00F17D60"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3.13.2.2.1.1.1. Georeferenciación (longitud y latitud)</w:t>
      </w:r>
    </w:p>
    <w:p w14:paraId="14CBDE54" w14:textId="77777777" w:rsidR="00F17D60" w:rsidRPr="008270B7" w:rsidRDefault="00F17D60" w:rsidP="008270B7">
      <w:pPr>
        <w:tabs>
          <w:tab w:val="left" w:pos="720"/>
          <w:tab w:val="left" w:pos="1064"/>
          <w:tab w:val="left" w:pos="2057"/>
        </w:tabs>
        <w:ind w:right="356"/>
        <w:jc w:val="both"/>
        <w:rPr>
          <w:rFonts w:cs="Arial"/>
          <w:sz w:val="16"/>
          <w:szCs w:val="16"/>
        </w:rPr>
      </w:pPr>
      <w:r w:rsidRPr="008270B7">
        <w:rPr>
          <w:rFonts w:cs="Arial"/>
          <w:sz w:val="16"/>
          <w:szCs w:val="16"/>
        </w:rPr>
        <w:t>3.13.2.2.1.1.2. Zona sísmica </w:t>
      </w:r>
    </w:p>
    <w:p w14:paraId="303CF79C" w14:textId="77777777" w:rsidR="00DC6CF3" w:rsidRPr="008270B7" w:rsidRDefault="00DC6CF3" w:rsidP="008270B7">
      <w:pPr>
        <w:tabs>
          <w:tab w:val="left" w:pos="720"/>
          <w:tab w:val="left" w:pos="1064"/>
          <w:tab w:val="left" w:pos="2057"/>
          <w:tab w:val="left" w:pos="8789"/>
        </w:tabs>
        <w:ind w:right="51"/>
        <w:jc w:val="both"/>
        <w:rPr>
          <w:rFonts w:cs="Arial"/>
          <w:sz w:val="16"/>
          <w:szCs w:val="16"/>
        </w:rPr>
        <w:sectPr w:rsidR="00DC6CF3" w:rsidRPr="008270B7" w:rsidSect="00F17D60">
          <w:headerReference w:type="first" r:id="rId94"/>
          <w:footerReference w:type="first" r:id="rId95"/>
          <w:pgSz w:w="12240" w:h="18720" w:code="257"/>
          <w:pgMar w:top="1134" w:right="1701" w:bottom="1417" w:left="1701" w:header="709" w:footer="727" w:gutter="0"/>
          <w:pgNumType w:start="30"/>
          <w:cols w:space="708"/>
          <w:titlePg/>
          <w:docGrid w:linePitch="360"/>
        </w:sectPr>
      </w:pPr>
    </w:p>
    <w:p w14:paraId="2DF3F763" w14:textId="77777777" w:rsidR="00DC6CF3" w:rsidRPr="008270B7" w:rsidRDefault="00DC6CF3" w:rsidP="008270B7">
      <w:pPr>
        <w:tabs>
          <w:tab w:val="left" w:pos="720"/>
          <w:tab w:val="left" w:pos="1064"/>
          <w:tab w:val="left" w:pos="2057"/>
          <w:tab w:val="left" w:pos="8789"/>
        </w:tabs>
        <w:ind w:left="720" w:right="51" w:hanging="720"/>
        <w:jc w:val="both"/>
        <w:rPr>
          <w:rFonts w:cs="Arial"/>
          <w:sz w:val="16"/>
          <w:szCs w:val="16"/>
        </w:rPr>
      </w:pPr>
      <w:r w:rsidRPr="008270B7">
        <w:rPr>
          <w:rFonts w:cs="Arial"/>
          <w:sz w:val="16"/>
          <w:szCs w:val="16"/>
        </w:rPr>
        <w:lastRenderedPageBreak/>
        <w:t>3.13.2.2.1.1.3. Uso del riesgo (comercial, vivienda u otro)</w:t>
      </w:r>
    </w:p>
    <w:p w14:paraId="03665108"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3.13.2.2.1.1.4. Año de construcción </w:t>
      </w:r>
    </w:p>
    <w:p w14:paraId="073F5F00"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3.13.2.2.1.1.5. Tipo estructural </w:t>
      </w:r>
    </w:p>
    <w:p w14:paraId="252C343B"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3.13.2.2.1.1.6. Número de pisos</w:t>
      </w:r>
    </w:p>
    <w:p w14:paraId="2BDC7BE0"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4488FBF1"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Para cada una de las anteriores variables, la entidad aseguradora debe reportar el número de riesgos con información incompleta, la proporción que representa ese número de riesgos sobre el número total de riesgos de la cartera, el valor asegurado de los riesgos con información incompleta y la proporción que representa este valor asegurado sobre el valor asegurado de la cartera total. </w:t>
      </w:r>
    </w:p>
    <w:p w14:paraId="563635E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8BEA13A"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En ningún caso será admisible no contar con la información mínima de los riesgos cubiertos por seguros asociados a créditos con garantía hipotecaria o leasing habitacional otorgados por entidades vigiladas por la SFC. En caso de que la entidad otorgante del crédito no sea una entidad vigilada, la entidad aseguradora debe adoptar procedimientos para la correcta recopilación de la información. </w:t>
      </w:r>
    </w:p>
    <w:p w14:paraId="443C24C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525AF58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3.13.2.2.1.2. Información relacionada con el número de riesgos y exposición con información incompleta por zona sísmica</w:t>
      </w:r>
    </w:p>
    <w:p w14:paraId="068A07B9"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857093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entidad aseguradora debe discriminar el porcentaje del número de riesgos y de la exposición con información incompleta </w:t>
      </w:r>
      <w:proofErr w:type="gramStart"/>
      <w:r w:rsidRPr="008270B7">
        <w:rPr>
          <w:rFonts w:cs="Arial"/>
          <w:sz w:val="16"/>
          <w:szCs w:val="16"/>
        </w:rPr>
        <w:t>de acuerdo a</w:t>
      </w:r>
      <w:proofErr w:type="gramEnd"/>
      <w:r w:rsidRPr="008270B7">
        <w:rPr>
          <w:rFonts w:cs="Arial"/>
          <w:sz w:val="16"/>
          <w:szCs w:val="16"/>
        </w:rPr>
        <w:t xml:space="preserve"> las zonas sísmicas establecidas por la SFC en el Formato 506 (Proforma F.3000-87). Adicionalmente, dicha discriminación debe tener en cuenta como mínimo las siguientes variables:</w:t>
      </w:r>
    </w:p>
    <w:p w14:paraId="3E0967FC"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09E702B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3.13.2.2.1.2.1. Uso del riesgo (Comercial, vivienda u otro)</w:t>
      </w:r>
    </w:p>
    <w:p w14:paraId="7E5F197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3.13.2.2.1.2.2. Año de construcción </w:t>
      </w:r>
    </w:p>
    <w:p w14:paraId="2160C9EB"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3.13.2.2.1.2.3. Tipo estructural</w:t>
      </w:r>
      <w:r w:rsidRPr="008270B7" w:rsidDel="0050444D">
        <w:rPr>
          <w:rFonts w:cs="Arial"/>
          <w:sz w:val="16"/>
          <w:szCs w:val="16"/>
        </w:rPr>
        <w:t xml:space="preserve"> </w:t>
      </w:r>
    </w:p>
    <w:p w14:paraId="192EEE3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3.13.2.2.1.2.4. Número de pisos</w:t>
      </w:r>
    </w:p>
    <w:p w14:paraId="3874EC5A"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89BF9A8"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En el caso de los riesgos estatales (obligación de aseguramiento de los bienes de propiedad del estado), debe indicarse el número de riesgos para los que no se dispone de la información de zona sísmica y la exposición que representan dichos riesgos.</w:t>
      </w:r>
    </w:p>
    <w:p w14:paraId="12C58E61"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3FF3EBE4"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3.13.2.2.2. Causas de la carencia de información</w:t>
      </w:r>
    </w:p>
    <w:p w14:paraId="0BAD5CB4"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14CA14D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entidad aseguradora debe explicar para cada una de las variables del </w:t>
      </w:r>
      <w:proofErr w:type="spellStart"/>
      <w:r w:rsidRPr="008270B7">
        <w:rPr>
          <w:rFonts w:cs="Arial"/>
          <w:sz w:val="16"/>
          <w:szCs w:val="16"/>
        </w:rPr>
        <w:t>subnumeral</w:t>
      </w:r>
      <w:proofErr w:type="spellEnd"/>
      <w:r w:rsidRPr="008270B7">
        <w:rPr>
          <w:rFonts w:cs="Arial"/>
          <w:sz w:val="16"/>
          <w:szCs w:val="16"/>
        </w:rPr>
        <w:t xml:space="preserve"> 3.13.2.2.1.1. las razones por las cuales no cuenta con la información relacionada en el </w:t>
      </w:r>
      <w:proofErr w:type="spellStart"/>
      <w:r w:rsidRPr="008270B7">
        <w:rPr>
          <w:rFonts w:cs="Arial"/>
          <w:sz w:val="16"/>
          <w:szCs w:val="16"/>
        </w:rPr>
        <w:t>subnumeral</w:t>
      </w:r>
      <w:proofErr w:type="spellEnd"/>
      <w:r w:rsidRPr="008270B7">
        <w:rPr>
          <w:rFonts w:cs="Arial"/>
          <w:sz w:val="16"/>
          <w:szCs w:val="16"/>
        </w:rPr>
        <w:t xml:space="preserve"> 3.13.2.1. de este Capítulo. Dichas razones deben ser discriminadas </w:t>
      </w:r>
      <w:proofErr w:type="gramStart"/>
      <w:r w:rsidRPr="008270B7">
        <w:rPr>
          <w:rFonts w:cs="Arial"/>
          <w:sz w:val="16"/>
          <w:szCs w:val="16"/>
        </w:rPr>
        <w:t>de acuerdo al</w:t>
      </w:r>
      <w:proofErr w:type="gramEnd"/>
      <w:r w:rsidRPr="008270B7">
        <w:rPr>
          <w:rFonts w:cs="Arial"/>
          <w:sz w:val="16"/>
          <w:szCs w:val="16"/>
        </w:rPr>
        <w:t xml:space="preserve"> canal de comercialización mediante el cual fue suscrito el seguro de terremoto o la cobertura y para cada canal indicar el tipo de producto, sean estos: i) estatales (obligación de aseguramiento de los bienes de propiedad del estado); </w:t>
      </w:r>
      <w:proofErr w:type="spellStart"/>
      <w:r w:rsidRPr="008270B7">
        <w:rPr>
          <w:rFonts w:cs="Arial"/>
          <w:sz w:val="16"/>
          <w:szCs w:val="16"/>
        </w:rPr>
        <w:t>ii</w:t>
      </w:r>
      <w:proofErr w:type="spellEnd"/>
      <w:r w:rsidRPr="008270B7">
        <w:rPr>
          <w:rFonts w:cs="Arial"/>
          <w:sz w:val="16"/>
          <w:szCs w:val="16"/>
        </w:rPr>
        <w:t xml:space="preserve">) bienes comunes; </w:t>
      </w:r>
      <w:proofErr w:type="spellStart"/>
      <w:r w:rsidRPr="008270B7">
        <w:rPr>
          <w:rFonts w:cs="Arial"/>
          <w:sz w:val="16"/>
          <w:szCs w:val="16"/>
        </w:rPr>
        <w:t>iii</w:t>
      </w:r>
      <w:proofErr w:type="spellEnd"/>
      <w:r w:rsidRPr="008270B7">
        <w:rPr>
          <w:rFonts w:cs="Arial"/>
          <w:sz w:val="16"/>
          <w:szCs w:val="16"/>
        </w:rPr>
        <w:t xml:space="preserve">) ingeniería/obras civiles; </w:t>
      </w:r>
      <w:proofErr w:type="spellStart"/>
      <w:r w:rsidRPr="008270B7">
        <w:rPr>
          <w:rFonts w:cs="Arial"/>
          <w:sz w:val="16"/>
          <w:szCs w:val="16"/>
        </w:rPr>
        <w:t>iv</w:t>
      </w:r>
      <w:proofErr w:type="spellEnd"/>
      <w:r w:rsidRPr="008270B7">
        <w:rPr>
          <w:rFonts w:cs="Arial"/>
          <w:sz w:val="16"/>
          <w:szCs w:val="16"/>
        </w:rPr>
        <w:t xml:space="preserve">) comercialización masiva de bajo valor (seguros a los que se refiere el </w:t>
      </w:r>
      <w:proofErr w:type="spellStart"/>
      <w:r w:rsidRPr="008270B7">
        <w:rPr>
          <w:rFonts w:cs="Arial"/>
          <w:sz w:val="16"/>
          <w:szCs w:val="16"/>
        </w:rPr>
        <w:t>subnumeral</w:t>
      </w:r>
      <w:proofErr w:type="spellEnd"/>
      <w:r w:rsidRPr="008270B7">
        <w:rPr>
          <w:rFonts w:cs="Arial"/>
          <w:sz w:val="16"/>
          <w:szCs w:val="16"/>
        </w:rPr>
        <w:t xml:space="preserve"> 4.2.2.1.7. Capítulo IV, Título IV, Parte I, de la CBJ y son comercializados a través de canales autorizados conforme a la normatividad vigente, distintos de intermediarios de seguros); v) comercialización masiva de alto valor (seguros que no cumplen con los requisitos del </w:t>
      </w:r>
      <w:proofErr w:type="spellStart"/>
      <w:r w:rsidRPr="008270B7">
        <w:rPr>
          <w:rFonts w:cs="Arial"/>
          <w:sz w:val="16"/>
          <w:szCs w:val="16"/>
        </w:rPr>
        <w:t>subnumeral</w:t>
      </w:r>
      <w:proofErr w:type="spellEnd"/>
      <w:r w:rsidRPr="008270B7">
        <w:rPr>
          <w:rFonts w:cs="Arial"/>
          <w:sz w:val="16"/>
          <w:szCs w:val="16"/>
        </w:rPr>
        <w:t xml:space="preserve"> 4.2.2.1.7. Capítulo IV, Título IV, Parte I, de la CBJ y son comercializados a través de canales autorizados conforme a la normatividad vigente, distintos de intermediarios de seguros); vi) hogar/residencial (no asociados a créditos con garantía hipotecaria o leasing habitacional y comercializados a través de corredores de seguros, agentes, agencias); </w:t>
      </w:r>
      <w:proofErr w:type="spellStart"/>
      <w:r w:rsidRPr="008270B7">
        <w:rPr>
          <w:rFonts w:cs="Arial"/>
          <w:sz w:val="16"/>
          <w:szCs w:val="16"/>
        </w:rPr>
        <w:t>vii</w:t>
      </w:r>
      <w:proofErr w:type="spellEnd"/>
      <w:r w:rsidRPr="008270B7">
        <w:rPr>
          <w:rFonts w:cs="Arial"/>
          <w:sz w:val="16"/>
          <w:szCs w:val="16"/>
        </w:rPr>
        <w:t xml:space="preserve">) empresarial y </w:t>
      </w:r>
      <w:proofErr w:type="spellStart"/>
      <w:r w:rsidRPr="008270B7">
        <w:rPr>
          <w:rFonts w:cs="Arial"/>
          <w:sz w:val="16"/>
          <w:szCs w:val="16"/>
        </w:rPr>
        <w:t>viii</w:t>
      </w:r>
      <w:proofErr w:type="spellEnd"/>
      <w:r w:rsidRPr="008270B7">
        <w:rPr>
          <w:rFonts w:cs="Arial"/>
          <w:sz w:val="16"/>
          <w:szCs w:val="16"/>
        </w:rPr>
        <w:t xml:space="preserve">) seguros asociados a créditos con garantía hipotecaria otorgados por entidades no vigiladas. </w:t>
      </w:r>
    </w:p>
    <w:p w14:paraId="278D954E"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DA5A314"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3.13.2.2.3. Procedimientos y estado de avance de la información</w:t>
      </w:r>
    </w:p>
    <w:p w14:paraId="566E3CFC"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5E26802A"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Una vez caracterizados los riesgos asegurados que trata el </w:t>
      </w:r>
      <w:proofErr w:type="spellStart"/>
      <w:r w:rsidRPr="008270B7">
        <w:rPr>
          <w:rFonts w:cs="Arial"/>
          <w:sz w:val="16"/>
          <w:szCs w:val="16"/>
        </w:rPr>
        <w:t>subnumeral</w:t>
      </w:r>
      <w:proofErr w:type="spellEnd"/>
      <w:r w:rsidRPr="008270B7">
        <w:rPr>
          <w:rFonts w:cs="Arial"/>
          <w:sz w:val="16"/>
          <w:szCs w:val="16"/>
        </w:rPr>
        <w:t xml:space="preserve"> 3.13.2.1. de este Capítulo, la entidad aseguradora debe incorporar en el PIGT los procedimientos de recopilación de información de las características de los riesgos, así como el informe de estado y avance en la recolección de la información faltante. Los procedimientos deben tener como mínimo descripciones de las tareas a ejecutar, entregables y responsables, así como los criterios tenidos en cuenta al momento de definir las estrategias para recolectar la información. Dichos criterios deben priorizar la recolección de información de aquellos riesgos asegurados que contribuyan en una mayor proporción a la perdida máxima probable o que representen acumulaciones significativas por zona sísmica, obedeciendo al principio de materialidad.</w:t>
      </w:r>
    </w:p>
    <w:p w14:paraId="060FA55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2146215E"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Cuando la entidad aseguradora modifique los procedimientos, debe actualizar los manuales y el PIGT</w:t>
      </w:r>
      <w:r w:rsidRPr="008270B7">
        <w:rPr>
          <w:rFonts w:cs="Arial"/>
          <w:color w:val="000000"/>
          <w:sz w:val="16"/>
          <w:szCs w:val="16"/>
        </w:rPr>
        <w:t>, los cuales deben estar a disposición de la SFC.</w:t>
      </w:r>
    </w:p>
    <w:p w14:paraId="1A7AE02D"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6F6EDB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 Modelación de la cartera </w:t>
      </w:r>
    </w:p>
    <w:p w14:paraId="7A09AD3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6046F204"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La entidad aseguradora puede contar con la asesoría de terceros para la modelación de la cartera, sean estos corredores de reaseguro, consultores o personal de las firmas modeladoras, entre otros. No obstante, lo anterior no exime a la entidad aseguradora de la responsabilidad de verificar la calidad de la información de la cartera, escoger el modelo no objetado con base en criterios propios e implementar procesos que le permitan validar las gestiones y procesos de estos terceros en la modelación de la cartera, así como los resultados respectivos. Adicionalmente, la entidad aseguradora es igualmente responsable cuando la asesoría en la modelación de la cartera sea provista por miembros de su matriz o una sociedad vinculada o afiliada.</w:t>
      </w:r>
    </w:p>
    <w:p w14:paraId="1CBF77F8"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786A29E0"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entidad aseguradora debe incluir dentro del PIGT las políticas y procedimientos definidos para la modelación de su cartera, incluyendo los siguientes puntos: </w:t>
      </w:r>
    </w:p>
    <w:p w14:paraId="1BD56CD7"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65BD2E5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3.13.2.3.1. Los criterios utilizados para la escogencia del modelo no objetado, tales como características de la cartera asegurada, apetito de riesgo, estructura de coaseguro y reaseguro, entre otros. </w:t>
      </w:r>
    </w:p>
    <w:p w14:paraId="25A7052A"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137DDC0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3.13.2.3.2. Información sobre el modelo seleccionado </w:t>
      </w:r>
      <w:proofErr w:type="gramStart"/>
      <w:r w:rsidRPr="008270B7">
        <w:rPr>
          <w:rFonts w:cs="Arial"/>
          <w:sz w:val="16"/>
          <w:szCs w:val="16"/>
        </w:rPr>
        <w:t>de acuerdo a</w:t>
      </w:r>
      <w:proofErr w:type="gramEnd"/>
      <w:r w:rsidRPr="008270B7">
        <w:rPr>
          <w:rFonts w:cs="Arial"/>
          <w:sz w:val="16"/>
          <w:szCs w:val="16"/>
        </w:rPr>
        <w:t xml:space="preserve"> los modelos no objetados por la SFC. Se debe especificar la versión del software usado para la </w:t>
      </w:r>
      <w:proofErr w:type="gramStart"/>
      <w:r w:rsidRPr="008270B7">
        <w:rPr>
          <w:rFonts w:cs="Arial"/>
          <w:sz w:val="16"/>
          <w:szCs w:val="16"/>
        </w:rPr>
        <w:t>última modelación y la última versión</w:t>
      </w:r>
      <w:proofErr w:type="gramEnd"/>
      <w:r w:rsidRPr="008270B7">
        <w:rPr>
          <w:rFonts w:cs="Arial"/>
          <w:sz w:val="16"/>
          <w:szCs w:val="16"/>
        </w:rPr>
        <w:t xml:space="preserve"> disponible en el mercado, los parámetros o valores que se utilizaron por defecto ante la ausencia de la información de la que trata el </w:t>
      </w:r>
      <w:proofErr w:type="spellStart"/>
      <w:r w:rsidRPr="008270B7">
        <w:rPr>
          <w:rFonts w:cs="Arial"/>
          <w:sz w:val="16"/>
          <w:szCs w:val="16"/>
        </w:rPr>
        <w:t>subnumeral</w:t>
      </w:r>
      <w:proofErr w:type="spellEnd"/>
      <w:r w:rsidRPr="008270B7">
        <w:rPr>
          <w:rFonts w:cs="Arial"/>
          <w:sz w:val="16"/>
          <w:szCs w:val="16"/>
        </w:rPr>
        <w:t xml:space="preserve"> 3.13.2.1. y una verificación de que el modelo replique fielmente la estructura de deducibles, coaseguros y reaseguros de la entidad aseguradora.</w:t>
      </w:r>
    </w:p>
    <w:p w14:paraId="5E6E9BC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545A498D" w14:textId="77777777" w:rsidR="00DC6CF3" w:rsidRPr="008270B7" w:rsidRDefault="00DC6CF3" w:rsidP="008270B7">
      <w:pPr>
        <w:tabs>
          <w:tab w:val="left" w:pos="720"/>
          <w:tab w:val="left" w:pos="1064"/>
          <w:tab w:val="left" w:pos="2057"/>
          <w:tab w:val="left" w:pos="8789"/>
        </w:tabs>
        <w:ind w:right="51"/>
        <w:jc w:val="both"/>
        <w:rPr>
          <w:rFonts w:cs="Arial"/>
          <w:spacing w:val="-3"/>
          <w:sz w:val="16"/>
          <w:szCs w:val="16"/>
        </w:rPr>
      </w:pPr>
      <w:r w:rsidRPr="008270B7">
        <w:rPr>
          <w:rFonts w:cs="Arial"/>
          <w:sz w:val="16"/>
          <w:szCs w:val="16"/>
          <w:lang w:val="es-AR"/>
        </w:rPr>
        <w:t xml:space="preserve">En caso de que la entidad aseguradora cambie el modelo no objetado debe comunicarlo a la SFC dentro de los 10 días hábiles siguientes, mediante una comunicación que informe dicho cambio y sus implicaciones e impactos. </w:t>
      </w:r>
      <w:r w:rsidRPr="008270B7">
        <w:rPr>
          <w:rFonts w:cs="Arial"/>
          <w:spacing w:val="-3"/>
          <w:sz w:val="16"/>
          <w:szCs w:val="16"/>
        </w:rPr>
        <w:t>Los cambios serán aplicables únicamente a partir del siguiente año fiscal.</w:t>
      </w:r>
    </w:p>
    <w:p w14:paraId="26C48B87" w14:textId="77777777" w:rsidR="00DC6CF3" w:rsidRPr="008270B7" w:rsidRDefault="00DC6CF3" w:rsidP="008270B7">
      <w:pPr>
        <w:tabs>
          <w:tab w:val="left" w:pos="720"/>
          <w:tab w:val="left" w:pos="1064"/>
          <w:tab w:val="left" w:pos="2057"/>
          <w:tab w:val="left" w:pos="8789"/>
        </w:tabs>
        <w:ind w:right="51"/>
        <w:jc w:val="both"/>
        <w:rPr>
          <w:rFonts w:cs="Arial"/>
          <w:spacing w:val="-3"/>
          <w:sz w:val="16"/>
          <w:szCs w:val="16"/>
        </w:rPr>
        <w:sectPr w:rsidR="00DC6CF3" w:rsidRPr="008270B7" w:rsidSect="00BB0A30">
          <w:headerReference w:type="first" r:id="rId96"/>
          <w:footerReference w:type="first" r:id="rId97"/>
          <w:pgSz w:w="12240" w:h="18720" w:code="257"/>
          <w:pgMar w:top="1417" w:right="1701" w:bottom="1417" w:left="1701" w:header="709" w:footer="727" w:gutter="0"/>
          <w:pgNumType w:start="30"/>
          <w:cols w:space="708"/>
          <w:titlePg/>
          <w:docGrid w:linePitch="360"/>
        </w:sectPr>
      </w:pPr>
    </w:p>
    <w:p w14:paraId="5D2983B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pacing w:val="-3"/>
          <w:sz w:val="16"/>
          <w:szCs w:val="16"/>
        </w:rPr>
        <w:lastRenderedPageBreak/>
        <w:t xml:space="preserve">Cuando la entidad cambie la versión </w:t>
      </w:r>
      <w:proofErr w:type="gramStart"/>
      <w:r w:rsidRPr="008270B7">
        <w:rPr>
          <w:rFonts w:cs="Arial"/>
          <w:spacing w:val="-3"/>
          <w:sz w:val="16"/>
          <w:szCs w:val="16"/>
        </w:rPr>
        <w:t>del modelo empleada</w:t>
      </w:r>
      <w:proofErr w:type="gramEnd"/>
      <w:r w:rsidRPr="008270B7">
        <w:rPr>
          <w:rFonts w:cs="Arial"/>
          <w:spacing w:val="-3"/>
          <w:sz w:val="16"/>
          <w:szCs w:val="16"/>
        </w:rPr>
        <w:t xml:space="preserve">, </w:t>
      </w:r>
      <w:r w:rsidRPr="008270B7">
        <w:rPr>
          <w:rFonts w:cs="Arial"/>
          <w:sz w:val="16"/>
          <w:szCs w:val="16"/>
          <w:lang w:val="es-AR"/>
        </w:rPr>
        <w:t xml:space="preserve">debe notificarlo a la SFC dentro de los 10 días hábiles siguientes, mediante una comunicación que informe dicho cambio y sus implicaciones e impactos. La entidad aseguradora </w:t>
      </w:r>
      <w:r w:rsidRPr="008270B7">
        <w:rPr>
          <w:rFonts w:cs="Arial"/>
          <w:spacing w:val="-3"/>
          <w:sz w:val="16"/>
          <w:szCs w:val="16"/>
        </w:rPr>
        <w:t xml:space="preserve">debe documentar en el PIGT (i) las razones por las cuales la entidad aseguradora llevó a cabo </w:t>
      </w:r>
      <w:proofErr w:type="gramStart"/>
      <w:r w:rsidRPr="008270B7">
        <w:rPr>
          <w:rFonts w:cs="Arial"/>
          <w:spacing w:val="-3"/>
          <w:sz w:val="16"/>
          <w:szCs w:val="16"/>
        </w:rPr>
        <w:t>dicho  cambio</w:t>
      </w:r>
      <w:proofErr w:type="gramEnd"/>
      <w:r w:rsidRPr="008270B7">
        <w:rPr>
          <w:rFonts w:cs="Arial"/>
          <w:spacing w:val="-3"/>
          <w:sz w:val="16"/>
          <w:szCs w:val="16"/>
        </w:rPr>
        <w:t>; (</w:t>
      </w:r>
      <w:proofErr w:type="spellStart"/>
      <w:r w:rsidRPr="008270B7">
        <w:rPr>
          <w:rFonts w:cs="Arial"/>
          <w:spacing w:val="-3"/>
          <w:sz w:val="16"/>
          <w:szCs w:val="16"/>
        </w:rPr>
        <w:t>ii</w:t>
      </w:r>
      <w:proofErr w:type="spellEnd"/>
      <w:r w:rsidRPr="008270B7">
        <w:rPr>
          <w:rFonts w:cs="Arial"/>
          <w:spacing w:val="-3"/>
          <w:sz w:val="16"/>
          <w:szCs w:val="16"/>
        </w:rPr>
        <w:t>) las modificaciones que sufrió el modelo frente a la versión anterior que usaba la entidad aseguradora y (</w:t>
      </w:r>
      <w:proofErr w:type="spellStart"/>
      <w:r w:rsidRPr="008270B7">
        <w:rPr>
          <w:rFonts w:cs="Arial"/>
          <w:spacing w:val="-3"/>
          <w:sz w:val="16"/>
          <w:szCs w:val="16"/>
        </w:rPr>
        <w:t>iii</w:t>
      </w:r>
      <w:proofErr w:type="spellEnd"/>
      <w:r w:rsidRPr="008270B7">
        <w:rPr>
          <w:rFonts w:cs="Arial"/>
          <w:spacing w:val="-3"/>
          <w:sz w:val="16"/>
          <w:szCs w:val="16"/>
        </w:rPr>
        <w:t>) el impacto que tiene la actualización en la modelación.</w:t>
      </w:r>
    </w:p>
    <w:p w14:paraId="1CAE32B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61DC2AEF"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3.13.2.3.3. Las políticas, metodologías y supuestos utilizados para la modelación de la cartera cuando no cuente con la información de la que trata el </w:t>
      </w:r>
      <w:proofErr w:type="spellStart"/>
      <w:r w:rsidRPr="008270B7">
        <w:rPr>
          <w:rFonts w:cs="Arial"/>
          <w:sz w:val="16"/>
          <w:szCs w:val="16"/>
        </w:rPr>
        <w:t>subnumeral</w:t>
      </w:r>
      <w:proofErr w:type="spellEnd"/>
      <w:r w:rsidRPr="008270B7">
        <w:rPr>
          <w:rFonts w:cs="Arial"/>
          <w:sz w:val="16"/>
          <w:szCs w:val="16"/>
        </w:rPr>
        <w:t xml:space="preserve"> 3.13.2.1. de este Capítulo. Dichas metodologías y supuestos deben ser sustentados a partir del conocimiento del comportamiento de las edificaciones, de las prácticas constructivas en Colombia y reconocer la incertidumbre implícita de la ausencia de información. Las metodologías y supuestos de que trata este </w:t>
      </w:r>
      <w:proofErr w:type="spellStart"/>
      <w:r w:rsidRPr="008270B7">
        <w:rPr>
          <w:rFonts w:cs="Arial"/>
          <w:sz w:val="16"/>
          <w:szCs w:val="16"/>
        </w:rPr>
        <w:t>subnumeral</w:t>
      </w:r>
      <w:proofErr w:type="spellEnd"/>
      <w:r w:rsidRPr="008270B7">
        <w:rPr>
          <w:rFonts w:cs="Arial"/>
          <w:sz w:val="16"/>
          <w:szCs w:val="16"/>
        </w:rPr>
        <w:t xml:space="preserve"> deben estar debidamente documentadas y permanecer a disposición de la SFC para su revisión. </w:t>
      </w:r>
    </w:p>
    <w:p w14:paraId="56680337"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6F504080" w14:textId="77777777" w:rsidR="00DC6CF3" w:rsidRPr="008270B7" w:rsidRDefault="00DC6CF3" w:rsidP="008270B7">
      <w:pPr>
        <w:tabs>
          <w:tab w:val="left" w:pos="720"/>
          <w:tab w:val="left" w:pos="1064"/>
          <w:tab w:val="left" w:pos="2057"/>
          <w:tab w:val="left" w:pos="8789"/>
        </w:tabs>
        <w:ind w:right="51"/>
        <w:jc w:val="both"/>
        <w:rPr>
          <w:rFonts w:cs="Arial"/>
          <w:spacing w:val="-3"/>
          <w:sz w:val="16"/>
          <w:szCs w:val="16"/>
        </w:rPr>
      </w:pPr>
      <w:r w:rsidRPr="008270B7">
        <w:rPr>
          <w:rFonts w:cs="Arial"/>
          <w:sz w:val="16"/>
          <w:szCs w:val="16"/>
          <w:lang w:val="es-AR"/>
        </w:rPr>
        <w:t xml:space="preserve">En caso de que la entidad aseguradora cambie los supuestos y metodologías debe comunicarlo a la SFC dentro de los 10 días hábiles siguientes, mediante una comunicación que informe dicho cambio y sus implicaciones e impactos. </w:t>
      </w:r>
      <w:r w:rsidRPr="008270B7">
        <w:rPr>
          <w:rFonts w:cs="Arial"/>
          <w:spacing w:val="-3"/>
          <w:sz w:val="16"/>
          <w:szCs w:val="16"/>
        </w:rPr>
        <w:t>Los cambios serán aplicables únicamente a partir del siguiente año fiscal.</w:t>
      </w:r>
    </w:p>
    <w:p w14:paraId="74C76170" w14:textId="77777777" w:rsidR="00DC6CF3" w:rsidRPr="008270B7" w:rsidRDefault="00DC6CF3" w:rsidP="008270B7">
      <w:pPr>
        <w:tabs>
          <w:tab w:val="left" w:pos="720"/>
          <w:tab w:val="left" w:pos="1064"/>
          <w:tab w:val="left" w:pos="2057"/>
          <w:tab w:val="left" w:pos="8789"/>
        </w:tabs>
        <w:ind w:right="51"/>
        <w:jc w:val="both"/>
        <w:rPr>
          <w:rFonts w:cs="Arial"/>
          <w:spacing w:val="-3"/>
          <w:sz w:val="16"/>
          <w:szCs w:val="16"/>
        </w:rPr>
      </w:pPr>
    </w:p>
    <w:p w14:paraId="1FF1F81B"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3.13.2.3.4. Los resultados de la modelación utilizando: i) las metodologías y supuestos de que trata el </w:t>
      </w:r>
      <w:proofErr w:type="spellStart"/>
      <w:r w:rsidRPr="008270B7">
        <w:rPr>
          <w:rFonts w:cs="Arial"/>
          <w:sz w:val="16"/>
          <w:szCs w:val="16"/>
        </w:rPr>
        <w:t>subnumeral</w:t>
      </w:r>
      <w:proofErr w:type="spellEnd"/>
      <w:r w:rsidRPr="008270B7">
        <w:rPr>
          <w:rFonts w:cs="Arial"/>
          <w:sz w:val="16"/>
          <w:szCs w:val="16"/>
        </w:rPr>
        <w:t xml:space="preserve"> 3.13.2.3.3. y </w:t>
      </w:r>
      <w:proofErr w:type="spellStart"/>
      <w:r w:rsidRPr="008270B7">
        <w:rPr>
          <w:rFonts w:cs="Arial"/>
          <w:sz w:val="16"/>
          <w:szCs w:val="16"/>
        </w:rPr>
        <w:t>ii</w:t>
      </w:r>
      <w:proofErr w:type="spellEnd"/>
      <w:r w:rsidRPr="008270B7">
        <w:rPr>
          <w:rFonts w:cs="Arial"/>
          <w:sz w:val="16"/>
          <w:szCs w:val="16"/>
        </w:rPr>
        <w:t xml:space="preserve">) los parámetros o valores por defecto del modelo no objetado seleccionado. </w:t>
      </w:r>
    </w:p>
    <w:p w14:paraId="20C7E560"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2FB744E1"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entidad aseguradora debe reportar como mínimo semestralmente a la SFC los resultados de la modelación anteriormente mencionados. Cuando las entidades aseguradoras cuenten con el 100% de la información de los riesgos asegurados deben reportar a la SFC mínimo semestralmente los resultados de la modelación de la cartera con el modelo no objetado. </w:t>
      </w:r>
    </w:p>
    <w:p w14:paraId="24DA3DA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637B5E25"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3.13.2.3.5. Una vez obtenidos los resultados de que trata el </w:t>
      </w:r>
      <w:proofErr w:type="spellStart"/>
      <w:r w:rsidRPr="008270B7">
        <w:rPr>
          <w:rFonts w:cs="Arial"/>
          <w:sz w:val="16"/>
          <w:szCs w:val="16"/>
        </w:rPr>
        <w:t>subnumeral</w:t>
      </w:r>
      <w:proofErr w:type="spellEnd"/>
      <w:r w:rsidRPr="008270B7">
        <w:rPr>
          <w:rFonts w:cs="Arial"/>
          <w:sz w:val="16"/>
          <w:szCs w:val="16"/>
        </w:rPr>
        <w:t xml:space="preserve"> 3.13.2.3.4. para la determinación de las reservas técnicas del ramo, la entidad aseguradora debe utilizar la PMP que resulte mayor entre la determinada a partir de los supuestos propios de la entidad y los valores por defecto del modelo no objetado seleccionado.</w:t>
      </w:r>
    </w:p>
    <w:p w14:paraId="0ED799AC"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002F0200"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3.13.2.3.6. El actuario responsable de la entidad aseguradora debe emitir concepto respecto de la escogencia de parámetros y supuestos idóneos acordes a las características físicas de los riesgos de la cartera asegurada conforme a lo establecido en el </w:t>
      </w:r>
      <w:proofErr w:type="spellStart"/>
      <w:r w:rsidRPr="008270B7">
        <w:rPr>
          <w:rFonts w:cs="Arial"/>
          <w:sz w:val="16"/>
          <w:szCs w:val="16"/>
        </w:rPr>
        <w:t>subnumeral</w:t>
      </w:r>
      <w:proofErr w:type="spellEnd"/>
      <w:r w:rsidRPr="008270B7">
        <w:rPr>
          <w:rFonts w:cs="Arial"/>
          <w:sz w:val="16"/>
          <w:szCs w:val="16"/>
        </w:rPr>
        <w:t xml:space="preserve"> 6.3.2.1. del Capítulo II, Titulo IV, Parte II de la CBJ. El PIGT debe incorporar los comentarios del actuario responsable con respecto a los supuestos y </w:t>
      </w:r>
      <w:proofErr w:type="gramStart"/>
      <w:r w:rsidRPr="008270B7">
        <w:rPr>
          <w:rFonts w:cs="Arial"/>
          <w:sz w:val="16"/>
          <w:szCs w:val="16"/>
        </w:rPr>
        <w:t>variables utilizados</w:t>
      </w:r>
      <w:proofErr w:type="gramEnd"/>
      <w:r w:rsidRPr="008270B7">
        <w:rPr>
          <w:rFonts w:cs="Arial"/>
          <w:sz w:val="16"/>
          <w:szCs w:val="16"/>
        </w:rPr>
        <w:t xml:space="preserve"> para la modelación de la cartera cuando no se cuente con información completa.</w:t>
      </w:r>
    </w:p>
    <w:p w14:paraId="266C7B6A"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2AC75AF1"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3.13.2.3.7. Los procedimientos implementados por la entidad aseguradora para validar los procesos y resultados de los terceros asesores para la modelación de la cartera. Adicionalmente, la entidad aseguradora debe incluir toda la información y documentación en la cual se evidencien los resultados que obtuvo de la implementación de dichos procesos.</w:t>
      </w:r>
    </w:p>
    <w:p w14:paraId="3CF891B7"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26FADBDE"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3.13.2.4 Consideraciones adicionales</w:t>
      </w:r>
    </w:p>
    <w:p w14:paraId="00D1AAF2"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0697AA7C"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entidad aseguradora debe documentar todas las estimaciones, procesos y usos adicionales para la gestión del riesgo de terremoto en los cuales se utiliza el modelo no objetado por la SFC escogido por la entidad aseguradora tales como, tarifación, suscripción, contratación de reaseguros, entre otros. </w:t>
      </w:r>
    </w:p>
    <w:p w14:paraId="0373FCBE"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13B3ABA6"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3.13.2.5 Función de la </w:t>
      </w:r>
      <w:proofErr w:type="spellStart"/>
      <w:r w:rsidRPr="008270B7">
        <w:rPr>
          <w:rFonts w:cs="Arial"/>
          <w:sz w:val="16"/>
          <w:szCs w:val="16"/>
        </w:rPr>
        <w:t>auditoria</w:t>
      </w:r>
      <w:proofErr w:type="spellEnd"/>
      <w:r w:rsidRPr="008270B7">
        <w:rPr>
          <w:rFonts w:cs="Arial"/>
          <w:sz w:val="16"/>
          <w:szCs w:val="16"/>
        </w:rPr>
        <w:t xml:space="preserve"> interna en el PIGT</w:t>
      </w:r>
    </w:p>
    <w:p w14:paraId="6ECCB05B"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p>
    <w:p w14:paraId="3D969283" w14:textId="77777777" w:rsidR="00DC6CF3" w:rsidRPr="008270B7" w:rsidRDefault="00DC6CF3" w:rsidP="008270B7">
      <w:pPr>
        <w:tabs>
          <w:tab w:val="left" w:pos="720"/>
          <w:tab w:val="left" w:pos="1064"/>
          <w:tab w:val="left" w:pos="2057"/>
          <w:tab w:val="left" w:pos="8789"/>
        </w:tabs>
        <w:ind w:right="51"/>
        <w:jc w:val="both"/>
        <w:rPr>
          <w:rFonts w:cs="Arial"/>
          <w:sz w:val="16"/>
          <w:szCs w:val="16"/>
        </w:rPr>
      </w:pPr>
      <w:r w:rsidRPr="008270B7">
        <w:rPr>
          <w:rFonts w:cs="Arial"/>
          <w:sz w:val="16"/>
          <w:szCs w:val="16"/>
        </w:rPr>
        <w:t xml:space="preserve">La auditoría interna de la entidad aseguradora debe incluir dentro de su plan anual, las actividades para la revisión del estado de cumplimiento del PIGT. A partir de estas actividades y sus resultados, la </w:t>
      </w:r>
      <w:proofErr w:type="spellStart"/>
      <w:r w:rsidRPr="008270B7">
        <w:rPr>
          <w:rFonts w:cs="Arial"/>
          <w:sz w:val="16"/>
          <w:szCs w:val="16"/>
        </w:rPr>
        <w:t>auditoria</w:t>
      </w:r>
      <w:proofErr w:type="spellEnd"/>
      <w:r w:rsidRPr="008270B7">
        <w:rPr>
          <w:rFonts w:cs="Arial"/>
          <w:sz w:val="16"/>
          <w:szCs w:val="16"/>
        </w:rPr>
        <w:t xml:space="preserve"> interna debe emitir un informe que debe incluirse en el PIGT.</w:t>
      </w:r>
    </w:p>
    <w:p w14:paraId="547F8461" w14:textId="77777777" w:rsidR="00DC6CF3" w:rsidRPr="008270B7" w:rsidRDefault="00DC6CF3" w:rsidP="008270B7">
      <w:pPr>
        <w:pStyle w:val="Ttulo1"/>
        <w:spacing w:before="0" w:after="0"/>
        <w:jc w:val="both"/>
        <w:rPr>
          <w:b w:val="0"/>
          <w:bCs w:val="0"/>
          <w:caps w:val="0"/>
          <w:kern w:val="0"/>
          <w:szCs w:val="16"/>
        </w:rPr>
      </w:pPr>
      <w:bookmarkStart w:id="27" w:name="_Toc269950177"/>
    </w:p>
    <w:p w14:paraId="3B066072" w14:textId="77777777" w:rsidR="00DC6CF3" w:rsidRPr="008270B7" w:rsidRDefault="00DC6CF3" w:rsidP="008270B7">
      <w:pPr>
        <w:pStyle w:val="Ttulo1"/>
        <w:spacing w:before="0" w:after="0"/>
        <w:jc w:val="both"/>
        <w:rPr>
          <w:b w:val="0"/>
          <w:bCs w:val="0"/>
          <w:szCs w:val="16"/>
        </w:rPr>
      </w:pPr>
      <w:r w:rsidRPr="008270B7">
        <w:rPr>
          <w:b w:val="0"/>
          <w:bCs w:val="0"/>
          <w:szCs w:val="16"/>
        </w:rPr>
        <w:t>4. REGLAS RELATIVAS A OTRAS ACTIVIDADES DESARROLLADAS POR LAS ENTIDADES ASEGURADORAS</w:t>
      </w:r>
      <w:bookmarkEnd w:id="27"/>
      <w:r w:rsidRPr="008270B7">
        <w:rPr>
          <w:b w:val="0"/>
          <w:bCs w:val="0"/>
          <w:szCs w:val="16"/>
        </w:rPr>
        <w:t xml:space="preserve"> </w:t>
      </w:r>
    </w:p>
    <w:p w14:paraId="7EAEBBC5" w14:textId="77777777" w:rsidR="00DC6CF3" w:rsidRPr="008270B7" w:rsidRDefault="00DC6CF3" w:rsidP="008270B7">
      <w:pPr>
        <w:tabs>
          <w:tab w:val="left" w:pos="0"/>
          <w:tab w:val="left" w:pos="720"/>
        </w:tabs>
        <w:jc w:val="both"/>
        <w:rPr>
          <w:rFonts w:cs="Arial"/>
          <w:sz w:val="16"/>
          <w:szCs w:val="16"/>
        </w:rPr>
      </w:pPr>
    </w:p>
    <w:p w14:paraId="106663EA" w14:textId="77777777" w:rsidR="00DC6CF3" w:rsidRPr="008270B7" w:rsidRDefault="00DC6CF3" w:rsidP="008270B7">
      <w:pPr>
        <w:pStyle w:val="Ttulo2"/>
        <w:jc w:val="both"/>
        <w:rPr>
          <w:b w:val="0"/>
          <w:bCs w:val="0"/>
          <w:szCs w:val="16"/>
        </w:rPr>
      </w:pPr>
      <w:bookmarkStart w:id="28" w:name="_Toc269950178"/>
      <w:r w:rsidRPr="008270B7">
        <w:rPr>
          <w:b w:val="0"/>
          <w:bCs w:val="0"/>
          <w:szCs w:val="16"/>
        </w:rPr>
        <w:t>4.1. Emisión de planes alternativos de pensiones</w:t>
      </w:r>
      <w:bookmarkEnd w:id="28"/>
    </w:p>
    <w:p w14:paraId="4313B87D" w14:textId="77777777" w:rsidR="00DC6CF3" w:rsidRPr="008270B7" w:rsidRDefault="00DC6CF3" w:rsidP="008270B7">
      <w:pPr>
        <w:tabs>
          <w:tab w:val="left" w:pos="0"/>
          <w:tab w:val="left" w:pos="720"/>
        </w:tabs>
        <w:jc w:val="both"/>
        <w:rPr>
          <w:rFonts w:cs="Arial"/>
          <w:sz w:val="16"/>
          <w:szCs w:val="16"/>
        </w:rPr>
      </w:pPr>
    </w:p>
    <w:p w14:paraId="66995AE4"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 xml:space="preserve">4.1.1. Requisitos </w:t>
      </w:r>
    </w:p>
    <w:p w14:paraId="2440C19C" w14:textId="77777777" w:rsidR="00DC6CF3" w:rsidRPr="008270B7" w:rsidRDefault="00DC6CF3" w:rsidP="008270B7">
      <w:pPr>
        <w:tabs>
          <w:tab w:val="left" w:pos="0"/>
          <w:tab w:val="left" w:pos="720"/>
        </w:tabs>
        <w:jc w:val="both"/>
        <w:rPr>
          <w:rFonts w:cs="Arial"/>
          <w:sz w:val="16"/>
          <w:szCs w:val="16"/>
        </w:rPr>
      </w:pPr>
    </w:p>
    <w:p w14:paraId="63503CE9"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Los planes alternativos de pensiones que emitan las entidades aseguradoras deben elaborarse sobre bases que permitan al afiliado su traslado a otro plan de capitalización o pensiones autorizado y ajustarse a los siguientes requisitos:</w:t>
      </w:r>
    </w:p>
    <w:p w14:paraId="183D9C2D" w14:textId="77777777" w:rsidR="00DC6CF3" w:rsidRPr="008270B7" w:rsidRDefault="00DC6CF3" w:rsidP="008270B7">
      <w:pPr>
        <w:pStyle w:val="Textoindependiente22"/>
        <w:tabs>
          <w:tab w:val="clear" w:pos="851"/>
          <w:tab w:val="left" w:pos="0"/>
          <w:tab w:val="left" w:pos="720"/>
        </w:tabs>
        <w:rPr>
          <w:rFonts w:cs="Arial"/>
          <w:sz w:val="16"/>
          <w:szCs w:val="16"/>
          <w:lang w:val="es-ES"/>
        </w:rPr>
      </w:pPr>
    </w:p>
    <w:p w14:paraId="0E9D228C"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4.1.1.1. Amparo: Los planes alternativos de pensiones, deben amparar a los afiliados y pensionados, por lo menos contra los riesgos de vejez, invalidez, sobrevivientes y auxilio funerario. Para optar por uno de tales planes es necesario que el afiliado haya capitalizado en una administradora de fondos de pensiones una suma equivalente al capital mínimo que señale el reglamento de la Ley 100 de 1993.</w:t>
      </w:r>
    </w:p>
    <w:p w14:paraId="3D43112D" w14:textId="77777777" w:rsidR="00DC6CF3" w:rsidRPr="008270B7" w:rsidRDefault="00DC6CF3" w:rsidP="008270B7">
      <w:pPr>
        <w:tabs>
          <w:tab w:val="left" w:pos="0"/>
          <w:tab w:val="left" w:pos="720"/>
        </w:tabs>
        <w:jc w:val="both"/>
        <w:rPr>
          <w:rFonts w:cs="Arial"/>
          <w:sz w:val="16"/>
          <w:szCs w:val="16"/>
        </w:rPr>
      </w:pPr>
    </w:p>
    <w:p w14:paraId="50F6CDA7"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4.1.1.2. Aportes: Los aportes en un plan alternativo de pensiones no pueden ser inferiores a las cotizaciones obligatorias previstas en la Ley 100 de 1993, determinadas según la base de cotizaciones al SGP de que tratan los arts. 18 y 19 de la misma Ley.</w:t>
      </w:r>
    </w:p>
    <w:p w14:paraId="273C657F" w14:textId="77777777" w:rsidR="00DC6CF3" w:rsidRPr="008270B7" w:rsidRDefault="00DC6CF3" w:rsidP="008270B7">
      <w:pPr>
        <w:tabs>
          <w:tab w:val="left" w:pos="0"/>
          <w:tab w:val="left" w:pos="720"/>
        </w:tabs>
        <w:jc w:val="both"/>
        <w:rPr>
          <w:rFonts w:cs="Arial"/>
          <w:sz w:val="16"/>
          <w:szCs w:val="16"/>
        </w:rPr>
      </w:pPr>
    </w:p>
    <w:p w14:paraId="530E8D35"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4.1.1.3. Traslado de capital: La sociedad que administre el fondo de pensiones debe trasladar a la entidad aseguradora que ofrezca el plan alternativo de pensiones escogido, los aportes que registre la cuenta individual de ahorro pensional del afiliado, dentro de los 2 días siguientes a la fecha en que éste le comunique su decisión de optar por dicho plan.</w:t>
      </w:r>
    </w:p>
    <w:p w14:paraId="704BFC73" w14:textId="77777777" w:rsidR="00DC6CF3" w:rsidRPr="008270B7" w:rsidRDefault="00DC6CF3" w:rsidP="008270B7">
      <w:pPr>
        <w:tabs>
          <w:tab w:val="left" w:pos="0"/>
          <w:tab w:val="left" w:pos="720"/>
        </w:tabs>
        <w:jc w:val="both"/>
        <w:rPr>
          <w:rFonts w:cs="Arial"/>
          <w:sz w:val="16"/>
          <w:szCs w:val="16"/>
        </w:rPr>
      </w:pPr>
    </w:p>
    <w:p w14:paraId="2E20AB95"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 xml:space="preserve">4.1.2. Condiciones generales </w:t>
      </w:r>
    </w:p>
    <w:p w14:paraId="36634ADF" w14:textId="77777777" w:rsidR="00DC6CF3" w:rsidRPr="008270B7" w:rsidRDefault="00DC6CF3" w:rsidP="008270B7">
      <w:pPr>
        <w:tabs>
          <w:tab w:val="left" w:pos="0"/>
          <w:tab w:val="left" w:pos="720"/>
        </w:tabs>
        <w:jc w:val="both"/>
        <w:rPr>
          <w:rFonts w:cs="Arial"/>
          <w:sz w:val="16"/>
          <w:szCs w:val="16"/>
        </w:rPr>
      </w:pPr>
    </w:p>
    <w:p w14:paraId="1A3C1B64"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 xml:space="preserve">Los planes alternativos de pensiones que emitan las entidades </w:t>
      </w:r>
      <w:proofErr w:type="gramStart"/>
      <w:r w:rsidRPr="008270B7">
        <w:rPr>
          <w:rFonts w:cs="Arial"/>
          <w:sz w:val="16"/>
          <w:szCs w:val="16"/>
        </w:rPr>
        <w:t>aseguradoras,</w:t>
      </w:r>
      <w:proofErr w:type="gramEnd"/>
      <w:r w:rsidRPr="008270B7">
        <w:rPr>
          <w:rFonts w:cs="Arial"/>
          <w:sz w:val="16"/>
          <w:szCs w:val="16"/>
        </w:rPr>
        <w:t xml:space="preserve"> deben </w:t>
      </w:r>
      <w:proofErr w:type="gramStart"/>
      <w:r w:rsidRPr="008270B7">
        <w:rPr>
          <w:rFonts w:cs="Arial"/>
          <w:sz w:val="16"/>
          <w:szCs w:val="16"/>
        </w:rPr>
        <w:t>precisar</w:t>
      </w:r>
      <w:proofErr w:type="gramEnd"/>
      <w:r w:rsidRPr="008270B7">
        <w:rPr>
          <w:rFonts w:cs="Arial"/>
          <w:sz w:val="16"/>
          <w:szCs w:val="16"/>
        </w:rPr>
        <w:t xml:space="preserve"> además, los siguientes aspectos:</w:t>
      </w:r>
    </w:p>
    <w:p w14:paraId="0EF37EA8" w14:textId="77777777" w:rsidR="00DC6CF3" w:rsidRPr="008270B7" w:rsidRDefault="00DC6CF3" w:rsidP="008270B7">
      <w:pPr>
        <w:tabs>
          <w:tab w:val="left" w:pos="0"/>
          <w:tab w:val="left" w:pos="720"/>
        </w:tabs>
        <w:jc w:val="both"/>
        <w:rPr>
          <w:rFonts w:cs="Arial"/>
          <w:sz w:val="16"/>
          <w:szCs w:val="16"/>
        </w:rPr>
      </w:pPr>
    </w:p>
    <w:p w14:paraId="2E4EB6C5" w14:textId="77777777" w:rsidR="00DC6CF3" w:rsidRPr="008270B7" w:rsidRDefault="00DC6CF3" w:rsidP="008270B7">
      <w:pPr>
        <w:tabs>
          <w:tab w:val="left" w:pos="0"/>
          <w:tab w:val="left" w:pos="720"/>
        </w:tabs>
        <w:jc w:val="both"/>
        <w:rPr>
          <w:rFonts w:cs="Arial"/>
          <w:sz w:val="16"/>
          <w:szCs w:val="16"/>
        </w:rPr>
      </w:pPr>
      <w:r w:rsidRPr="008270B7">
        <w:rPr>
          <w:rFonts w:cs="Arial"/>
          <w:sz w:val="16"/>
          <w:szCs w:val="16"/>
        </w:rPr>
        <w:t>4.1.2.1. Las condiciones para acceder a las prestaciones del plan, las cuales, en relación con las coberturas mínimas señaladas en el amparo, no pueden ser distintas a las exigidas en la Ley 100 de 1993 para el régimen de ahorro individual con solidaridad.</w:t>
      </w:r>
    </w:p>
    <w:p w14:paraId="1CC65ED6" w14:textId="77777777" w:rsidR="00DC6CF3" w:rsidRPr="008270B7" w:rsidRDefault="00DC6CF3" w:rsidP="008270B7">
      <w:pPr>
        <w:tabs>
          <w:tab w:val="left" w:pos="0"/>
          <w:tab w:val="left" w:pos="360"/>
          <w:tab w:val="left" w:pos="720"/>
        </w:tabs>
        <w:ind w:right="-232"/>
        <w:jc w:val="both"/>
        <w:rPr>
          <w:rFonts w:cs="Arial"/>
          <w:sz w:val="16"/>
          <w:szCs w:val="16"/>
        </w:rPr>
      </w:pPr>
    </w:p>
    <w:p w14:paraId="01310539" w14:textId="77777777" w:rsidR="00DC6CF3" w:rsidRPr="008270B7" w:rsidRDefault="00DC6CF3" w:rsidP="008270B7">
      <w:pPr>
        <w:tabs>
          <w:tab w:val="left" w:pos="0"/>
          <w:tab w:val="left" w:pos="360"/>
          <w:tab w:val="left" w:pos="720"/>
        </w:tabs>
        <w:ind w:right="51"/>
        <w:jc w:val="both"/>
        <w:rPr>
          <w:rFonts w:cs="Arial"/>
          <w:sz w:val="16"/>
          <w:szCs w:val="16"/>
        </w:rPr>
      </w:pPr>
      <w:r w:rsidRPr="008270B7">
        <w:rPr>
          <w:rFonts w:cs="Arial"/>
          <w:sz w:val="16"/>
          <w:szCs w:val="16"/>
        </w:rPr>
        <w:t>4.1.2.2. Los valores de las pensiones con indicación de los reajustes a que hubiere lugar.</w:t>
      </w:r>
    </w:p>
    <w:p w14:paraId="50A20824" w14:textId="77777777" w:rsidR="00DC6CF3" w:rsidRPr="008270B7" w:rsidRDefault="00DC6CF3" w:rsidP="008270B7">
      <w:pPr>
        <w:tabs>
          <w:tab w:val="left" w:pos="0"/>
          <w:tab w:val="left" w:pos="720"/>
        </w:tabs>
        <w:ind w:right="-232"/>
        <w:jc w:val="both"/>
        <w:rPr>
          <w:rFonts w:cs="Arial"/>
          <w:sz w:val="16"/>
          <w:szCs w:val="16"/>
        </w:rPr>
        <w:sectPr w:rsidR="00DC6CF3" w:rsidRPr="008270B7" w:rsidSect="00BB0A30">
          <w:footerReference w:type="first" r:id="rId98"/>
          <w:pgSz w:w="12240" w:h="18720" w:code="257"/>
          <w:pgMar w:top="1417" w:right="1701" w:bottom="1417" w:left="1701" w:header="709" w:footer="727" w:gutter="0"/>
          <w:pgNumType w:start="30"/>
          <w:cols w:space="708"/>
          <w:titlePg/>
          <w:docGrid w:linePitch="360"/>
        </w:sectPr>
      </w:pPr>
    </w:p>
    <w:p w14:paraId="655ECF3C" w14:textId="77777777" w:rsidR="00ED0B1D" w:rsidRPr="008270B7" w:rsidRDefault="00ED0B1D" w:rsidP="008270B7">
      <w:pPr>
        <w:tabs>
          <w:tab w:val="left" w:pos="0"/>
          <w:tab w:val="left" w:pos="720"/>
        </w:tabs>
        <w:ind w:right="51"/>
        <w:jc w:val="both"/>
        <w:rPr>
          <w:rFonts w:cs="Arial"/>
          <w:sz w:val="16"/>
          <w:szCs w:val="16"/>
        </w:rPr>
      </w:pPr>
      <w:r w:rsidRPr="008270B7">
        <w:rPr>
          <w:rFonts w:cs="Arial"/>
          <w:sz w:val="16"/>
          <w:szCs w:val="16"/>
        </w:rPr>
        <w:lastRenderedPageBreak/>
        <w:t>4.1.2.3. Determinación del momento a partir del cual se devenga la pensión de acuerdo con la naturaleza del riesgo.</w:t>
      </w:r>
    </w:p>
    <w:p w14:paraId="0141185A" w14:textId="77777777" w:rsidR="00ED0B1D" w:rsidRPr="008270B7" w:rsidRDefault="00ED0B1D" w:rsidP="008270B7">
      <w:pPr>
        <w:tabs>
          <w:tab w:val="left" w:pos="0"/>
          <w:tab w:val="left" w:pos="720"/>
        </w:tabs>
        <w:ind w:right="-232"/>
        <w:jc w:val="both"/>
        <w:rPr>
          <w:rFonts w:cs="Arial"/>
          <w:sz w:val="16"/>
          <w:szCs w:val="16"/>
        </w:rPr>
      </w:pPr>
    </w:p>
    <w:p w14:paraId="394FE939" w14:textId="77777777" w:rsidR="00ED0B1D" w:rsidRPr="008270B7" w:rsidRDefault="00ED0B1D" w:rsidP="008270B7">
      <w:pPr>
        <w:tabs>
          <w:tab w:val="left" w:pos="720"/>
          <w:tab w:val="left" w:pos="1064"/>
          <w:tab w:val="left" w:pos="2057"/>
        </w:tabs>
        <w:ind w:right="51"/>
        <w:jc w:val="both"/>
        <w:rPr>
          <w:rFonts w:cs="Arial"/>
          <w:sz w:val="16"/>
          <w:szCs w:val="16"/>
        </w:rPr>
      </w:pPr>
      <w:r w:rsidRPr="008270B7">
        <w:rPr>
          <w:rFonts w:cs="Arial"/>
          <w:sz w:val="16"/>
          <w:szCs w:val="16"/>
        </w:rPr>
        <w:t>4.1.2.4. Las condiciones de pago de la pensión. En el evento de que se estipulen cuotas periódicas, deben precisarse las fechas en que se realizarán los pagos.</w:t>
      </w:r>
      <w:r w:rsidRPr="008270B7" w:rsidDel="00D33912">
        <w:rPr>
          <w:rFonts w:cs="Arial"/>
          <w:sz w:val="16"/>
          <w:szCs w:val="16"/>
        </w:rPr>
        <w:t xml:space="preserve"> </w:t>
      </w:r>
    </w:p>
    <w:p w14:paraId="49B2EFD9" w14:textId="77777777" w:rsidR="00ED0B1D" w:rsidRPr="008270B7" w:rsidRDefault="00ED0B1D" w:rsidP="008270B7">
      <w:pPr>
        <w:tabs>
          <w:tab w:val="left" w:pos="0"/>
          <w:tab w:val="left" w:pos="720"/>
        </w:tabs>
        <w:ind w:right="51"/>
        <w:jc w:val="both"/>
        <w:rPr>
          <w:rFonts w:cs="Arial"/>
          <w:sz w:val="16"/>
          <w:szCs w:val="16"/>
        </w:rPr>
      </w:pPr>
    </w:p>
    <w:p w14:paraId="70A8295A" w14:textId="77777777" w:rsidR="00ED0B1D" w:rsidRPr="008270B7" w:rsidRDefault="00ED0B1D" w:rsidP="008270B7">
      <w:pPr>
        <w:pStyle w:val="Ttulo2"/>
        <w:jc w:val="both"/>
        <w:rPr>
          <w:b w:val="0"/>
          <w:bCs w:val="0"/>
          <w:szCs w:val="16"/>
        </w:rPr>
      </w:pPr>
      <w:bookmarkStart w:id="29" w:name="_Toc269950179"/>
      <w:r w:rsidRPr="008270B7">
        <w:rPr>
          <w:b w:val="0"/>
          <w:bCs w:val="0"/>
          <w:szCs w:val="16"/>
        </w:rPr>
        <w:t xml:space="preserve">4.2. Administración de fondos </w:t>
      </w:r>
      <w:bookmarkEnd w:id="29"/>
      <w:r w:rsidRPr="008270B7">
        <w:rPr>
          <w:b w:val="0"/>
          <w:bCs w:val="0"/>
          <w:szCs w:val="16"/>
        </w:rPr>
        <w:t xml:space="preserve">voluntarios de pensión. </w:t>
      </w:r>
    </w:p>
    <w:p w14:paraId="7E475382" w14:textId="77777777" w:rsidR="00ED0B1D" w:rsidRPr="008270B7" w:rsidRDefault="00ED0B1D" w:rsidP="008270B7">
      <w:pPr>
        <w:tabs>
          <w:tab w:val="left" w:pos="720"/>
          <w:tab w:val="left" w:pos="1064"/>
          <w:tab w:val="left" w:pos="2057"/>
        </w:tabs>
        <w:ind w:right="356"/>
        <w:jc w:val="both"/>
        <w:rPr>
          <w:rFonts w:cs="Arial"/>
          <w:sz w:val="16"/>
          <w:szCs w:val="16"/>
        </w:rPr>
      </w:pPr>
    </w:p>
    <w:p w14:paraId="115B9F23" w14:textId="77777777" w:rsidR="00ED0B1D" w:rsidRPr="008270B7" w:rsidRDefault="00ED0B1D" w:rsidP="008270B7">
      <w:pPr>
        <w:tabs>
          <w:tab w:val="left" w:pos="0"/>
          <w:tab w:val="left" w:pos="720"/>
        </w:tabs>
        <w:jc w:val="both"/>
        <w:rPr>
          <w:rFonts w:cs="Arial"/>
          <w:sz w:val="16"/>
          <w:szCs w:val="16"/>
        </w:rPr>
      </w:pPr>
      <w:r w:rsidRPr="008270B7">
        <w:rPr>
          <w:rFonts w:cs="Arial"/>
          <w:sz w:val="16"/>
          <w:szCs w:val="16"/>
        </w:rPr>
        <w:t>Las entidades aseguradoras que, de acuerdo con lo dispuesto en el Libro 42 a la Parte 2 del Decreto 2555 de 2010, estén autorizadas para administrar fondos voluntarios de pensión deben atender las instrucciones incorporadas en el Capítulo VI del Título III de la Parte II de la presente Circular.</w:t>
      </w:r>
    </w:p>
    <w:p w14:paraId="02F4AD67" w14:textId="77777777" w:rsidR="00ED0B1D" w:rsidRPr="008270B7" w:rsidRDefault="00ED0B1D" w:rsidP="008270B7">
      <w:pPr>
        <w:tabs>
          <w:tab w:val="left" w:pos="0"/>
          <w:tab w:val="left" w:pos="720"/>
        </w:tabs>
        <w:jc w:val="both"/>
        <w:rPr>
          <w:rFonts w:cs="Arial"/>
          <w:sz w:val="16"/>
          <w:szCs w:val="16"/>
        </w:rPr>
      </w:pPr>
    </w:p>
    <w:p w14:paraId="7FACF7EB" w14:textId="77777777" w:rsidR="00ED0B1D" w:rsidRPr="008270B7" w:rsidRDefault="00ED0B1D" w:rsidP="008270B7">
      <w:pPr>
        <w:tabs>
          <w:tab w:val="left" w:pos="0"/>
          <w:tab w:val="left" w:pos="720"/>
        </w:tabs>
        <w:jc w:val="both"/>
        <w:rPr>
          <w:rFonts w:cs="Arial"/>
          <w:sz w:val="16"/>
          <w:szCs w:val="16"/>
        </w:rPr>
      </w:pPr>
    </w:p>
    <w:p w14:paraId="29AFF8B9" w14:textId="77777777" w:rsidR="00ED0B1D" w:rsidRPr="008270B7" w:rsidRDefault="00ED0B1D" w:rsidP="008270B7">
      <w:pPr>
        <w:tabs>
          <w:tab w:val="left" w:pos="0"/>
          <w:tab w:val="left" w:pos="720"/>
        </w:tabs>
        <w:jc w:val="both"/>
        <w:rPr>
          <w:rFonts w:cs="Arial"/>
          <w:sz w:val="16"/>
          <w:szCs w:val="16"/>
        </w:rPr>
      </w:pPr>
    </w:p>
    <w:p w14:paraId="5EE58F79" w14:textId="77777777" w:rsidR="00ED0B1D" w:rsidRPr="008270B7" w:rsidRDefault="00ED0B1D" w:rsidP="008270B7">
      <w:pPr>
        <w:tabs>
          <w:tab w:val="left" w:pos="0"/>
          <w:tab w:val="left" w:pos="720"/>
        </w:tabs>
        <w:jc w:val="both"/>
        <w:rPr>
          <w:rFonts w:cs="Arial"/>
          <w:sz w:val="16"/>
          <w:szCs w:val="16"/>
        </w:rPr>
      </w:pPr>
    </w:p>
    <w:p w14:paraId="27BDECA0" w14:textId="77777777" w:rsidR="00ED0B1D" w:rsidRPr="008270B7" w:rsidRDefault="00ED0B1D" w:rsidP="008270B7">
      <w:pPr>
        <w:tabs>
          <w:tab w:val="left" w:pos="0"/>
          <w:tab w:val="left" w:pos="720"/>
        </w:tabs>
        <w:jc w:val="both"/>
        <w:rPr>
          <w:rFonts w:cs="Arial"/>
          <w:sz w:val="16"/>
          <w:szCs w:val="16"/>
        </w:rPr>
      </w:pPr>
    </w:p>
    <w:p w14:paraId="3C2B7D88" w14:textId="77777777" w:rsidR="00ED0B1D" w:rsidRPr="008270B7" w:rsidRDefault="00ED0B1D" w:rsidP="008270B7">
      <w:pPr>
        <w:tabs>
          <w:tab w:val="left" w:pos="0"/>
          <w:tab w:val="left" w:pos="720"/>
        </w:tabs>
        <w:jc w:val="both"/>
        <w:rPr>
          <w:rFonts w:cs="Arial"/>
          <w:sz w:val="16"/>
          <w:szCs w:val="16"/>
        </w:rPr>
      </w:pPr>
    </w:p>
    <w:p w14:paraId="6B7BA837" w14:textId="77777777" w:rsidR="00ED0B1D" w:rsidRPr="008270B7" w:rsidRDefault="00ED0B1D" w:rsidP="008270B7">
      <w:pPr>
        <w:pStyle w:val="Ttulo1"/>
        <w:spacing w:before="0" w:after="0"/>
        <w:jc w:val="both"/>
        <w:rPr>
          <w:b w:val="0"/>
          <w:bCs w:val="0"/>
          <w:szCs w:val="16"/>
        </w:rPr>
      </w:pPr>
      <w:bookmarkStart w:id="30" w:name="_Toc269950180"/>
    </w:p>
    <w:p w14:paraId="01F12FB5" w14:textId="77777777" w:rsidR="00ED0B1D" w:rsidRPr="008270B7" w:rsidRDefault="00ED0B1D" w:rsidP="008270B7">
      <w:pPr>
        <w:pStyle w:val="Ttulo1"/>
        <w:spacing w:before="0" w:after="0"/>
        <w:jc w:val="both"/>
        <w:rPr>
          <w:b w:val="0"/>
          <w:bCs w:val="0"/>
          <w:szCs w:val="16"/>
        </w:rPr>
      </w:pPr>
      <w:r w:rsidRPr="008270B7">
        <w:rPr>
          <w:b w:val="0"/>
          <w:bCs w:val="0"/>
          <w:szCs w:val="16"/>
        </w:rPr>
        <w:t>5. SUSCRIPCIÓN DE CONTRATOS DE ENCARGO FIDUCIARIO DE INVERSIÓN POR PARTE DE LAS ENTIDADES ASEGURADORAS</w:t>
      </w:r>
      <w:bookmarkEnd w:id="30"/>
    </w:p>
    <w:p w14:paraId="1CBFF19F" w14:textId="77777777" w:rsidR="00ED0B1D" w:rsidRPr="008270B7" w:rsidRDefault="00ED0B1D" w:rsidP="008270B7">
      <w:pPr>
        <w:tabs>
          <w:tab w:val="left" w:pos="720"/>
          <w:tab w:val="left" w:pos="1064"/>
          <w:tab w:val="left" w:pos="2057"/>
        </w:tabs>
        <w:ind w:right="356"/>
        <w:jc w:val="both"/>
        <w:rPr>
          <w:rFonts w:cs="Arial"/>
          <w:sz w:val="16"/>
          <w:szCs w:val="16"/>
        </w:rPr>
      </w:pPr>
      <w:r w:rsidRPr="008270B7">
        <w:rPr>
          <w:rFonts w:cs="Arial"/>
          <w:sz w:val="16"/>
          <w:szCs w:val="16"/>
        </w:rPr>
        <w:t> </w:t>
      </w:r>
    </w:p>
    <w:p w14:paraId="0AA52374" w14:textId="77777777" w:rsidR="00ED0B1D" w:rsidRPr="008270B7" w:rsidRDefault="00ED0B1D" w:rsidP="008270B7">
      <w:pPr>
        <w:tabs>
          <w:tab w:val="left" w:pos="720"/>
          <w:tab w:val="left" w:pos="1064"/>
          <w:tab w:val="left" w:pos="2057"/>
        </w:tabs>
        <w:ind w:right="51"/>
        <w:jc w:val="both"/>
        <w:rPr>
          <w:rFonts w:cs="Arial"/>
          <w:sz w:val="16"/>
          <w:szCs w:val="16"/>
        </w:rPr>
      </w:pPr>
      <w:r w:rsidRPr="008270B7">
        <w:rPr>
          <w:rFonts w:cs="Arial"/>
          <w:sz w:val="16"/>
          <w:szCs w:val="16"/>
        </w:rPr>
        <w:t>Las entidades aseguradoras pueden suscribir contratos de encargo fiduciario de inversión con las sociedades fiduciarias legalmente constituidas, para la ejecución de operaciones relacionadas con sus portafolios de inversión.</w:t>
      </w:r>
    </w:p>
    <w:p w14:paraId="7C4DD694" w14:textId="77777777" w:rsidR="00ED0B1D" w:rsidRPr="008270B7" w:rsidRDefault="00ED0B1D" w:rsidP="008270B7">
      <w:pPr>
        <w:tabs>
          <w:tab w:val="left" w:pos="720"/>
          <w:tab w:val="left" w:pos="1064"/>
          <w:tab w:val="left" w:pos="2057"/>
        </w:tabs>
        <w:ind w:right="51"/>
        <w:jc w:val="both"/>
        <w:rPr>
          <w:rFonts w:cs="Arial"/>
          <w:sz w:val="16"/>
          <w:szCs w:val="16"/>
        </w:rPr>
      </w:pPr>
    </w:p>
    <w:p w14:paraId="512DE9DF" w14:textId="77777777" w:rsidR="00ED0B1D" w:rsidRPr="008270B7" w:rsidRDefault="00ED0B1D" w:rsidP="008270B7">
      <w:pPr>
        <w:tabs>
          <w:tab w:val="left" w:pos="720"/>
          <w:tab w:val="left" w:pos="1064"/>
          <w:tab w:val="left" w:pos="2057"/>
        </w:tabs>
        <w:ind w:right="51"/>
        <w:jc w:val="both"/>
        <w:rPr>
          <w:rFonts w:cs="Arial"/>
          <w:sz w:val="16"/>
          <w:szCs w:val="16"/>
        </w:rPr>
      </w:pPr>
      <w:r w:rsidRPr="008270B7">
        <w:rPr>
          <w:rFonts w:cs="Arial"/>
          <w:sz w:val="16"/>
          <w:szCs w:val="16"/>
        </w:rPr>
        <w:t xml:space="preserve"> El contrato de encargo fiduciario de </w:t>
      </w:r>
      <w:proofErr w:type="gramStart"/>
      <w:r w:rsidRPr="008270B7">
        <w:rPr>
          <w:rFonts w:cs="Arial"/>
          <w:sz w:val="16"/>
          <w:szCs w:val="16"/>
        </w:rPr>
        <w:t>inversión,</w:t>
      </w:r>
      <w:proofErr w:type="gramEnd"/>
      <w:r w:rsidRPr="008270B7">
        <w:rPr>
          <w:rFonts w:cs="Arial"/>
          <w:sz w:val="16"/>
          <w:szCs w:val="16"/>
        </w:rPr>
        <w:t xml:space="preserve"> debe contemplar dentro de sus cláusulas claramente la responsabilidad de </w:t>
      </w:r>
      <w:proofErr w:type="gramStart"/>
      <w:r w:rsidRPr="008270B7">
        <w:rPr>
          <w:rFonts w:cs="Arial"/>
          <w:sz w:val="16"/>
          <w:szCs w:val="16"/>
        </w:rPr>
        <w:t>la  aseguradora</w:t>
      </w:r>
      <w:proofErr w:type="gramEnd"/>
      <w:r w:rsidRPr="008270B7">
        <w:rPr>
          <w:rFonts w:cs="Arial"/>
          <w:sz w:val="16"/>
          <w:szCs w:val="16"/>
        </w:rPr>
        <w:t xml:space="preserve"> en lo relacionado con la definición privativa de las políticas en materia de administración de riesgos de mercado, así como aquellas tendientes al seguimiento, análisis y evaluación de la gestión del portafolio por la sociedad fiduciaria. Igualmente, si el contrato comprende dentro de su objeto la ejecución de operaciones relacionadas con los portafolios a través de los cuales se respaldan las reservas técnicas de la entidad aseguradora, es menester pactar expresamente que el régimen de inversión de los </w:t>
      </w:r>
      <w:proofErr w:type="gramStart"/>
      <w:r w:rsidRPr="008270B7">
        <w:rPr>
          <w:rFonts w:cs="Arial"/>
          <w:sz w:val="16"/>
          <w:szCs w:val="16"/>
        </w:rPr>
        <w:t>mismos,</w:t>
      </w:r>
      <w:proofErr w:type="gramEnd"/>
      <w:r w:rsidRPr="008270B7">
        <w:rPr>
          <w:rFonts w:cs="Arial"/>
          <w:sz w:val="16"/>
          <w:szCs w:val="16"/>
        </w:rPr>
        <w:t xml:space="preserve"> sea el previsto en los arts. 2.31.3.1.2 y siguientes del Decreto 2555 de 2010.</w:t>
      </w:r>
    </w:p>
    <w:p w14:paraId="6971DE76" w14:textId="77777777" w:rsidR="00ED0B1D" w:rsidRPr="008270B7" w:rsidRDefault="00ED0B1D" w:rsidP="008270B7">
      <w:pPr>
        <w:tabs>
          <w:tab w:val="left" w:pos="720"/>
          <w:tab w:val="left" w:pos="1064"/>
          <w:tab w:val="left" w:pos="2057"/>
        </w:tabs>
        <w:ind w:right="51"/>
        <w:jc w:val="both"/>
        <w:rPr>
          <w:rFonts w:cs="Arial"/>
          <w:sz w:val="16"/>
          <w:szCs w:val="16"/>
        </w:rPr>
      </w:pPr>
    </w:p>
    <w:p w14:paraId="50703586" w14:textId="77777777" w:rsidR="00ED0B1D" w:rsidRPr="008270B7" w:rsidRDefault="00ED0B1D" w:rsidP="008270B7">
      <w:pPr>
        <w:tabs>
          <w:tab w:val="left" w:pos="720"/>
          <w:tab w:val="left" w:pos="1064"/>
          <w:tab w:val="left" w:pos="2057"/>
        </w:tabs>
        <w:ind w:right="51"/>
        <w:jc w:val="both"/>
        <w:rPr>
          <w:rFonts w:cs="Arial"/>
          <w:sz w:val="16"/>
          <w:szCs w:val="16"/>
        </w:rPr>
      </w:pPr>
      <w:r w:rsidRPr="008270B7">
        <w:rPr>
          <w:rFonts w:cs="Arial"/>
          <w:sz w:val="16"/>
          <w:szCs w:val="16"/>
        </w:rPr>
        <w:t>En el respectivo contrato debe especificarse que los procedimientos operacionales correspondientes al área de tesorería del “</w:t>
      </w:r>
      <w:proofErr w:type="spellStart"/>
      <w:r w:rsidRPr="008270B7">
        <w:rPr>
          <w:rFonts w:cs="Arial"/>
          <w:i/>
          <w:sz w:val="16"/>
          <w:szCs w:val="16"/>
        </w:rPr>
        <w:t>middle</w:t>
      </w:r>
      <w:proofErr w:type="spellEnd"/>
      <w:r w:rsidRPr="008270B7">
        <w:rPr>
          <w:rFonts w:cs="Arial"/>
          <w:i/>
          <w:sz w:val="16"/>
          <w:szCs w:val="16"/>
        </w:rPr>
        <w:t xml:space="preserve"> office</w:t>
      </w:r>
      <w:r w:rsidRPr="008270B7">
        <w:rPr>
          <w:rFonts w:cs="Arial"/>
          <w:sz w:val="16"/>
          <w:szCs w:val="16"/>
        </w:rPr>
        <w:t xml:space="preserve">”, deben estar siempre en cabeza de </w:t>
      </w:r>
      <w:proofErr w:type="gramStart"/>
      <w:r w:rsidRPr="008270B7">
        <w:rPr>
          <w:rFonts w:cs="Arial"/>
          <w:sz w:val="16"/>
          <w:szCs w:val="16"/>
        </w:rPr>
        <w:t>la  aseguradora</w:t>
      </w:r>
      <w:proofErr w:type="gramEnd"/>
      <w:r w:rsidRPr="008270B7">
        <w:rPr>
          <w:rFonts w:cs="Arial"/>
          <w:sz w:val="16"/>
          <w:szCs w:val="16"/>
        </w:rPr>
        <w:t xml:space="preserve"> </w:t>
      </w:r>
      <w:proofErr w:type="gramStart"/>
      <w:r w:rsidRPr="008270B7">
        <w:rPr>
          <w:rFonts w:cs="Arial"/>
          <w:sz w:val="16"/>
          <w:szCs w:val="16"/>
        </w:rPr>
        <w:t>y</w:t>
      </w:r>
      <w:proofErr w:type="gramEnd"/>
      <w:r w:rsidRPr="008270B7">
        <w:rPr>
          <w:rFonts w:cs="Arial"/>
          <w:sz w:val="16"/>
          <w:szCs w:val="16"/>
        </w:rPr>
        <w:t xml:space="preserve"> por lo tanto, no es procedente contratar su manejo con terceros. Para estos efectos, se entiende por “</w:t>
      </w:r>
      <w:proofErr w:type="spellStart"/>
      <w:r w:rsidRPr="008270B7">
        <w:rPr>
          <w:rFonts w:cs="Arial"/>
          <w:i/>
          <w:sz w:val="16"/>
          <w:szCs w:val="16"/>
        </w:rPr>
        <w:t>middle</w:t>
      </w:r>
      <w:proofErr w:type="spellEnd"/>
      <w:r w:rsidRPr="008270B7">
        <w:rPr>
          <w:rFonts w:cs="Arial"/>
          <w:i/>
          <w:sz w:val="16"/>
          <w:szCs w:val="16"/>
        </w:rPr>
        <w:t xml:space="preserve"> office</w:t>
      </w:r>
      <w:r w:rsidRPr="008270B7">
        <w:rPr>
          <w:rFonts w:cs="Arial"/>
          <w:sz w:val="16"/>
          <w:szCs w:val="16"/>
        </w:rPr>
        <w:t xml:space="preserve">” la definición contenida en el numeral 7 del Capítulo XX de la Circular Externa 100 de 1995 de la CBCF.  </w:t>
      </w:r>
    </w:p>
    <w:p w14:paraId="7BC23BA7" w14:textId="77777777" w:rsidR="00ED0B1D" w:rsidRPr="008270B7" w:rsidRDefault="00ED0B1D" w:rsidP="008270B7">
      <w:pPr>
        <w:tabs>
          <w:tab w:val="left" w:pos="720"/>
          <w:tab w:val="left" w:pos="1064"/>
          <w:tab w:val="left" w:pos="2057"/>
        </w:tabs>
        <w:ind w:right="356"/>
        <w:jc w:val="both"/>
        <w:rPr>
          <w:rFonts w:cs="Arial"/>
          <w:sz w:val="16"/>
          <w:szCs w:val="16"/>
        </w:rPr>
      </w:pPr>
      <w:r w:rsidRPr="008270B7">
        <w:rPr>
          <w:rFonts w:cs="Arial"/>
          <w:sz w:val="16"/>
          <w:szCs w:val="16"/>
        </w:rPr>
        <w:t> </w:t>
      </w:r>
    </w:p>
    <w:p w14:paraId="65777E09" w14:textId="77777777" w:rsidR="00ED0B1D" w:rsidRPr="008270B7" w:rsidRDefault="00ED0B1D" w:rsidP="008270B7">
      <w:pPr>
        <w:tabs>
          <w:tab w:val="left" w:pos="720"/>
          <w:tab w:val="left" w:pos="1064"/>
          <w:tab w:val="left" w:pos="2057"/>
        </w:tabs>
        <w:ind w:right="51"/>
        <w:jc w:val="both"/>
        <w:rPr>
          <w:rFonts w:cs="Arial"/>
          <w:sz w:val="16"/>
          <w:szCs w:val="16"/>
          <w:lang w:val="es-MX"/>
        </w:rPr>
      </w:pPr>
      <w:r w:rsidRPr="008270B7">
        <w:rPr>
          <w:rFonts w:cs="Arial"/>
          <w:sz w:val="16"/>
          <w:szCs w:val="16"/>
        </w:rPr>
        <w:t xml:space="preserve">Cabe resaltar que el hecho de suscribir este tipo de contratos con sociedades </w:t>
      </w:r>
      <w:proofErr w:type="gramStart"/>
      <w:r w:rsidRPr="008270B7">
        <w:rPr>
          <w:rFonts w:cs="Arial"/>
          <w:sz w:val="16"/>
          <w:szCs w:val="16"/>
        </w:rPr>
        <w:t>fiduciarias,</w:t>
      </w:r>
      <w:proofErr w:type="gramEnd"/>
      <w:r w:rsidRPr="008270B7">
        <w:rPr>
          <w:rFonts w:cs="Arial"/>
          <w:sz w:val="16"/>
          <w:szCs w:val="16"/>
        </w:rPr>
        <w:t xml:space="preserve"> no exime bajo ningún supuesto a la aseguradora del cumplimiento estricto de sus obligaciones legales o reglamentarias, como tampoco de las instrucciones contenidas en la presente Circular y en la CBCF, ni puede aducirse como una forma para trasladar las responsabilidades que le son inherentes en su calidad de entidades vigiladas a un tercero.</w:t>
      </w:r>
    </w:p>
    <w:p w14:paraId="17B2EDBE" w14:textId="77777777" w:rsidR="00DC6CF3" w:rsidRPr="008270B7" w:rsidRDefault="00DC6CF3" w:rsidP="008270B7">
      <w:pPr>
        <w:tabs>
          <w:tab w:val="left" w:pos="720"/>
          <w:tab w:val="left" w:pos="1064"/>
          <w:tab w:val="left" w:pos="2057"/>
        </w:tabs>
        <w:ind w:right="51"/>
        <w:jc w:val="both"/>
        <w:rPr>
          <w:rFonts w:cs="Arial"/>
          <w:sz w:val="16"/>
          <w:szCs w:val="16"/>
        </w:rPr>
      </w:pPr>
    </w:p>
    <w:p w14:paraId="46575695" w14:textId="77777777" w:rsidR="006E283D" w:rsidRPr="008270B7" w:rsidRDefault="006E283D" w:rsidP="008270B7">
      <w:pPr>
        <w:jc w:val="both"/>
        <w:rPr>
          <w:rFonts w:cs="Arial"/>
          <w:sz w:val="16"/>
          <w:szCs w:val="16"/>
        </w:rPr>
      </w:pPr>
    </w:p>
    <w:p w14:paraId="1FA173B0" w14:textId="77777777" w:rsidR="006E283D" w:rsidRPr="008270B7" w:rsidRDefault="006E283D" w:rsidP="008270B7">
      <w:pPr>
        <w:jc w:val="both"/>
        <w:rPr>
          <w:rFonts w:cs="Arial"/>
          <w:sz w:val="16"/>
          <w:szCs w:val="16"/>
        </w:rPr>
        <w:sectPr w:rsidR="006E283D" w:rsidRPr="008270B7" w:rsidSect="006E283D">
          <w:headerReference w:type="first" r:id="rId99"/>
          <w:footerReference w:type="first" r:id="rId100"/>
          <w:pgSz w:w="12240" w:h="18720" w:code="257"/>
          <w:pgMar w:top="1417" w:right="1701" w:bottom="1417" w:left="1701" w:header="709" w:footer="865" w:gutter="0"/>
          <w:pgNumType w:start="30"/>
          <w:cols w:space="708"/>
          <w:titlePg/>
          <w:docGrid w:linePitch="360"/>
        </w:sectPr>
      </w:pPr>
    </w:p>
    <w:p w14:paraId="2421A5A5" w14:textId="77777777" w:rsidR="004019BF" w:rsidRPr="008270B7" w:rsidRDefault="004019BF" w:rsidP="008270B7">
      <w:pPr>
        <w:jc w:val="both"/>
        <w:rPr>
          <w:rFonts w:cs="Arial"/>
          <w:sz w:val="16"/>
          <w:szCs w:val="16"/>
        </w:rPr>
      </w:pPr>
      <w:r w:rsidRPr="008270B7">
        <w:rPr>
          <w:rFonts w:cs="Arial"/>
          <w:sz w:val="16"/>
          <w:szCs w:val="16"/>
        </w:rPr>
        <w:lastRenderedPageBreak/>
        <w:t>6. REGLAS RELACIONADAS CON EL ROL DE LOS ACTUARIOS DE LAS ENTIDADES ASEGURADORAS</w:t>
      </w:r>
    </w:p>
    <w:p w14:paraId="39DC701A" w14:textId="77777777" w:rsidR="004019BF" w:rsidRPr="008270B7" w:rsidRDefault="004019BF" w:rsidP="008270B7">
      <w:pPr>
        <w:jc w:val="both"/>
        <w:rPr>
          <w:rFonts w:cs="Arial"/>
          <w:sz w:val="16"/>
          <w:szCs w:val="16"/>
        </w:rPr>
      </w:pPr>
    </w:p>
    <w:p w14:paraId="58C56205" w14:textId="77777777" w:rsidR="004019BF" w:rsidRPr="008270B7" w:rsidRDefault="004019BF" w:rsidP="008270B7">
      <w:pPr>
        <w:pStyle w:val="Ttulo2"/>
        <w:rPr>
          <w:b w:val="0"/>
          <w:bCs w:val="0"/>
          <w:szCs w:val="16"/>
        </w:rPr>
      </w:pPr>
      <w:r w:rsidRPr="008270B7">
        <w:rPr>
          <w:b w:val="0"/>
          <w:bCs w:val="0"/>
          <w:szCs w:val="16"/>
        </w:rPr>
        <w:t>6.1. Definiciones</w:t>
      </w:r>
    </w:p>
    <w:p w14:paraId="274E4C15" w14:textId="77777777" w:rsidR="004019BF" w:rsidRPr="008270B7" w:rsidRDefault="004019BF" w:rsidP="008270B7">
      <w:pPr>
        <w:rPr>
          <w:rFonts w:cs="Arial"/>
          <w:sz w:val="16"/>
          <w:szCs w:val="16"/>
        </w:rPr>
      </w:pPr>
    </w:p>
    <w:p w14:paraId="01C99B8C" w14:textId="77777777" w:rsidR="004019BF" w:rsidRPr="008270B7" w:rsidRDefault="004019BF" w:rsidP="008270B7">
      <w:pPr>
        <w:jc w:val="both"/>
        <w:rPr>
          <w:rFonts w:cs="Arial"/>
          <w:sz w:val="16"/>
          <w:szCs w:val="16"/>
        </w:rPr>
      </w:pPr>
      <w:r w:rsidRPr="008270B7">
        <w:rPr>
          <w:rFonts w:cs="Arial"/>
          <w:sz w:val="16"/>
          <w:szCs w:val="16"/>
        </w:rPr>
        <w:t>6.1.1. Actuario: Para efectos de lo previsto en las normas aplicables a las entidades aseguradoras, se entiende como Actuario a aquella persona natural que cuenta con formación profesional y conocimientos estadísticos, matemáticos, financieros y de administración de riesgos, concernientes a los seguros.</w:t>
      </w:r>
    </w:p>
    <w:p w14:paraId="2E60FC23" w14:textId="77777777" w:rsidR="004019BF" w:rsidRPr="008270B7" w:rsidRDefault="004019BF" w:rsidP="008270B7">
      <w:pPr>
        <w:jc w:val="both"/>
        <w:rPr>
          <w:rFonts w:cs="Arial"/>
          <w:sz w:val="16"/>
          <w:szCs w:val="16"/>
        </w:rPr>
      </w:pPr>
    </w:p>
    <w:p w14:paraId="59B59FFC" w14:textId="77777777" w:rsidR="004019BF" w:rsidRPr="008270B7" w:rsidRDefault="004019BF" w:rsidP="008270B7">
      <w:pPr>
        <w:jc w:val="both"/>
        <w:rPr>
          <w:rFonts w:cs="Arial"/>
          <w:sz w:val="16"/>
          <w:szCs w:val="16"/>
        </w:rPr>
      </w:pPr>
      <w:r w:rsidRPr="008270B7">
        <w:rPr>
          <w:rFonts w:cs="Arial"/>
          <w:sz w:val="16"/>
          <w:szCs w:val="16"/>
        </w:rPr>
        <w:t xml:space="preserve">6.1.2. Actuario Responsable: Actuario que desempeñe las funciones establecidas en el </w:t>
      </w:r>
      <w:proofErr w:type="spellStart"/>
      <w:r w:rsidRPr="008270B7">
        <w:rPr>
          <w:rFonts w:cs="Arial"/>
          <w:sz w:val="16"/>
          <w:szCs w:val="16"/>
        </w:rPr>
        <w:t>subnumeral</w:t>
      </w:r>
      <w:proofErr w:type="spellEnd"/>
      <w:r w:rsidRPr="008270B7">
        <w:rPr>
          <w:rFonts w:cs="Arial"/>
          <w:sz w:val="16"/>
          <w:szCs w:val="16"/>
        </w:rPr>
        <w:t xml:space="preserve"> 6.2.1 de este Capítulo.</w:t>
      </w:r>
    </w:p>
    <w:p w14:paraId="27C76C27" w14:textId="77777777" w:rsidR="004019BF" w:rsidRPr="008270B7" w:rsidRDefault="004019BF" w:rsidP="008270B7">
      <w:pPr>
        <w:jc w:val="both"/>
        <w:rPr>
          <w:rFonts w:cs="Arial"/>
          <w:sz w:val="16"/>
          <w:szCs w:val="16"/>
        </w:rPr>
      </w:pPr>
    </w:p>
    <w:p w14:paraId="288CD356" w14:textId="77777777" w:rsidR="004019BF" w:rsidRPr="008270B7" w:rsidRDefault="004019BF" w:rsidP="008270B7">
      <w:pPr>
        <w:jc w:val="both"/>
        <w:rPr>
          <w:rFonts w:cs="Arial"/>
          <w:sz w:val="16"/>
          <w:szCs w:val="16"/>
        </w:rPr>
      </w:pPr>
      <w:r w:rsidRPr="008270B7">
        <w:rPr>
          <w:rFonts w:cs="Arial"/>
          <w:sz w:val="16"/>
          <w:szCs w:val="16"/>
        </w:rPr>
        <w:t xml:space="preserve">6.1.3. Actuario Responsable Externo: </w:t>
      </w:r>
      <w:r w:rsidRPr="008270B7">
        <w:rPr>
          <w:rFonts w:cs="Arial"/>
          <w:sz w:val="16"/>
          <w:szCs w:val="16"/>
          <w:lang w:val="es-CO"/>
        </w:rPr>
        <w:t>Actuario Responsable que no tenga una relación laboral con la entidad aseguradora.</w:t>
      </w:r>
    </w:p>
    <w:p w14:paraId="3D944270" w14:textId="77777777" w:rsidR="004019BF" w:rsidRPr="008270B7" w:rsidRDefault="004019BF" w:rsidP="008270B7">
      <w:pPr>
        <w:jc w:val="both"/>
        <w:rPr>
          <w:rFonts w:cs="Arial"/>
          <w:sz w:val="16"/>
          <w:szCs w:val="16"/>
        </w:rPr>
      </w:pPr>
    </w:p>
    <w:p w14:paraId="7BC5A55D" w14:textId="77777777" w:rsidR="004019BF" w:rsidRPr="008270B7" w:rsidRDefault="004019BF" w:rsidP="008270B7">
      <w:pPr>
        <w:jc w:val="both"/>
        <w:rPr>
          <w:rFonts w:cs="Arial"/>
          <w:sz w:val="16"/>
          <w:szCs w:val="16"/>
        </w:rPr>
      </w:pPr>
      <w:r w:rsidRPr="008270B7">
        <w:rPr>
          <w:rFonts w:cs="Arial"/>
          <w:sz w:val="16"/>
          <w:szCs w:val="16"/>
        </w:rPr>
        <w:t>6.1.4. Cálculo Actuarial: Cómputo, cuenta, estudio o investigación matemática, que debe ser ejecutado por un Actuario.</w:t>
      </w:r>
    </w:p>
    <w:p w14:paraId="6865E974" w14:textId="77777777" w:rsidR="004019BF" w:rsidRPr="008270B7" w:rsidRDefault="004019BF" w:rsidP="008270B7">
      <w:pPr>
        <w:jc w:val="both"/>
        <w:rPr>
          <w:rFonts w:cs="Arial"/>
          <w:sz w:val="16"/>
          <w:szCs w:val="16"/>
        </w:rPr>
      </w:pPr>
    </w:p>
    <w:p w14:paraId="28B9ECF8" w14:textId="77777777" w:rsidR="004019BF" w:rsidRPr="008270B7" w:rsidRDefault="004019BF" w:rsidP="008270B7">
      <w:pPr>
        <w:jc w:val="both"/>
        <w:rPr>
          <w:rFonts w:cs="Arial"/>
          <w:sz w:val="16"/>
          <w:szCs w:val="16"/>
        </w:rPr>
      </w:pPr>
      <w:r w:rsidRPr="008270B7">
        <w:rPr>
          <w:rFonts w:cs="Arial"/>
          <w:sz w:val="16"/>
          <w:szCs w:val="16"/>
        </w:rPr>
        <w:t>6.2. Actuario Responsable</w:t>
      </w:r>
    </w:p>
    <w:p w14:paraId="7FC4BA29" w14:textId="77777777" w:rsidR="004019BF" w:rsidRPr="008270B7" w:rsidRDefault="004019BF" w:rsidP="008270B7">
      <w:pPr>
        <w:jc w:val="both"/>
        <w:rPr>
          <w:rFonts w:cs="Arial"/>
          <w:sz w:val="16"/>
          <w:szCs w:val="16"/>
        </w:rPr>
      </w:pPr>
    </w:p>
    <w:p w14:paraId="3926AF74" w14:textId="77777777" w:rsidR="004019BF" w:rsidRPr="008270B7" w:rsidRDefault="004019BF" w:rsidP="008270B7">
      <w:pPr>
        <w:jc w:val="both"/>
        <w:rPr>
          <w:rFonts w:cs="Arial"/>
          <w:sz w:val="16"/>
          <w:szCs w:val="16"/>
        </w:rPr>
      </w:pPr>
      <w:r w:rsidRPr="008270B7">
        <w:rPr>
          <w:rFonts w:cs="Arial"/>
          <w:sz w:val="16"/>
          <w:szCs w:val="16"/>
        </w:rPr>
        <w:t xml:space="preserve">De acuerdo con los artículos 2.31.4.1.2 y siguientes del Decreto 2555 de 2010, las entidades aseguradoras deben designar a un “actuario de la compañía”, de conformidad con lo previsto en el presente </w:t>
      </w:r>
      <w:proofErr w:type="spellStart"/>
      <w:r w:rsidRPr="008270B7">
        <w:rPr>
          <w:rFonts w:cs="Arial"/>
          <w:sz w:val="16"/>
          <w:szCs w:val="16"/>
        </w:rPr>
        <w:t>subnumeral</w:t>
      </w:r>
      <w:proofErr w:type="spellEnd"/>
      <w:r w:rsidRPr="008270B7">
        <w:rPr>
          <w:rFonts w:cs="Arial"/>
          <w:sz w:val="16"/>
          <w:szCs w:val="16"/>
        </w:rPr>
        <w:t xml:space="preserve">. </w:t>
      </w:r>
    </w:p>
    <w:p w14:paraId="1C25D906" w14:textId="77777777" w:rsidR="004019BF" w:rsidRPr="008270B7" w:rsidRDefault="004019BF" w:rsidP="008270B7">
      <w:pPr>
        <w:rPr>
          <w:rFonts w:cs="Arial"/>
          <w:sz w:val="16"/>
          <w:szCs w:val="16"/>
        </w:rPr>
      </w:pPr>
    </w:p>
    <w:p w14:paraId="73037386" w14:textId="77777777" w:rsidR="004019BF" w:rsidRPr="008270B7" w:rsidRDefault="004019BF" w:rsidP="008270B7">
      <w:pPr>
        <w:pStyle w:val="Ttulo2"/>
        <w:rPr>
          <w:b w:val="0"/>
          <w:bCs w:val="0"/>
          <w:szCs w:val="16"/>
        </w:rPr>
      </w:pPr>
      <w:r w:rsidRPr="008270B7">
        <w:rPr>
          <w:b w:val="0"/>
          <w:bCs w:val="0"/>
          <w:szCs w:val="16"/>
        </w:rPr>
        <w:t>6.2.1. Funciones del Actuario Responsable</w:t>
      </w:r>
    </w:p>
    <w:p w14:paraId="6673CC4B" w14:textId="77777777" w:rsidR="004019BF" w:rsidRPr="008270B7" w:rsidRDefault="004019BF" w:rsidP="008270B7">
      <w:pPr>
        <w:jc w:val="both"/>
        <w:rPr>
          <w:rFonts w:cs="Arial"/>
          <w:sz w:val="16"/>
          <w:szCs w:val="16"/>
        </w:rPr>
      </w:pPr>
    </w:p>
    <w:p w14:paraId="037159C1" w14:textId="77777777" w:rsidR="004019BF" w:rsidRPr="008270B7" w:rsidRDefault="004019BF" w:rsidP="008270B7">
      <w:pPr>
        <w:jc w:val="both"/>
        <w:rPr>
          <w:rFonts w:cs="Arial"/>
          <w:sz w:val="16"/>
          <w:szCs w:val="16"/>
        </w:rPr>
      </w:pPr>
      <w:r w:rsidRPr="008270B7">
        <w:rPr>
          <w:rFonts w:cs="Arial"/>
          <w:sz w:val="16"/>
          <w:szCs w:val="16"/>
        </w:rPr>
        <w:t>Las entidades aseguradoras deben contar con un Actuario que, sin perjuicio de las funciones asignadas por cada entidad, tiene la responsabilidad de:</w:t>
      </w:r>
    </w:p>
    <w:p w14:paraId="2E8CE1EF" w14:textId="77777777" w:rsidR="004019BF" w:rsidRPr="008270B7" w:rsidRDefault="004019BF" w:rsidP="008270B7">
      <w:pPr>
        <w:jc w:val="both"/>
        <w:rPr>
          <w:rFonts w:cs="Arial"/>
          <w:sz w:val="16"/>
          <w:szCs w:val="16"/>
        </w:rPr>
      </w:pPr>
    </w:p>
    <w:p w14:paraId="6DC456BA" w14:textId="77777777" w:rsidR="004019BF" w:rsidRPr="008270B7" w:rsidRDefault="004019BF" w:rsidP="008270B7">
      <w:pPr>
        <w:jc w:val="both"/>
        <w:rPr>
          <w:rFonts w:cs="Arial"/>
          <w:sz w:val="16"/>
          <w:szCs w:val="16"/>
        </w:rPr>
      </w:pPr>
      <w:r w:rsidRPr="008270B7">
        <w:rPr>
          <w:rFonts w:cs="Arial"/>
          <w:sz w:val="16"/>
          <w:szCs w:val="16"/>
        </w:rPr>
        <w:t>6.2.1.1. Certificar la suficiencia de las reservas técnicas constituidas por la entidad aseguradora.</w:t>
      </w:r>
    </w:p>
    <w:p w14:paraId="204013A9" w14:textId="77777777" w:rsidR="004019BF" w:rsidRPr="008270B7" w:rsidRDefault="004019BF" w:rsidP="008270B7">
      <w:pPr>
        <w:jc w:val="both"/>
        <w:rPr>
          <w:rFonts w:cs="Arial"/>
          <w:sz w:val="16"/>
          <w:szCs w:val="16"/>
        </w:rPr>
      </w:pPr>
    </w:p>
    <w:p w14:paraId="553EF80F" w14:textId="77777777" w:rsidR="004019BF" w:rsidRPr="008270B7" w:rsidRDefault="004019BF" w:rsidP="008270B7">
      <w:pPr>
        <w:jc w:val="both"/>
        <w:rPr>
          <w:rFonts w:cs="Arial"/>
          <w:sz w:val="16"/>
          <w:szCs w:val="16"/>
        </w:rPr>
      </w:pPr>
      <w:r w:rsidRPr="008270B7">
        <w:rPr>
          <w:rFonts w:cs="Arial"/>
          <w:sz w:val="16"/>
          <w:szCs w:val="16"/>
        </w:rPr>
        <w:t>6.2.1.2. Emitir los soportes técnicos actuariales que certifiquen la suficiencia de las reservas reportadas por la entidad aseguradora.</w:t>
      </w:r>
    </w:p>
    <w:p w14:paraId="6BBF4418" w14:textId="77777777" w:rsidR="004019BF" w:rsidRPr="008270B7" w:rsidRDefault="004019BF" w:rsidP="008270B7">
      <w:pPr>
        <w:jc w:val="both"/>
        <w:rPr>
          <w:rFonts w:cs="Arial"/>
          <w:sz w:val="16"/>
          <w:szCs w:val="16"/>
        </w:rPr>
      </w:pPr>
    </w:p>
    <w:p w14:paraId="23A43519" w14:textId="77777777" w:rsidR="004019BF" w:rsidRPr="008270B7" w:rsidRDefault="004019BF" w:rsidP="008270B7">
      <w:pPr>
        <w:jc w:val="both"/>
        <w:rPr>
          <w:rFonts w:cs="Arial"/>
          <w:sz w:val="16"/>
          <w:szCs w:val="16"/>
        </w:rPr>
      </w:pPr>
      <w:r w:rsidRPr="008270B7">
        <w:rPr>
          <w:rFonts w:cs="Arial"/>
          <w:sz w:val="16"/>
          <w:szCs w:val="16"/>
        </w:rPr>
        <w:t>6.2.1.3. Emitir y certificar la metodología de cálculo de la reserva de riesgos en curso para aquellos riesgos en que la distribución del riesgo no es uniforme.</w:t>
      </w:r>
    </w:p>
    <w:p w14:paraId="6D95B49B" w14:textId="77777777" w:rsidR="004019BF" w:rsidRPr="008270B7" w:rsidRDefault="004019BF" w:rsidP="008270B7">
      <w:pPr>
        <w:jc w:val="both"/>
        <w:rPr>
          <w:rFonts w:cs="Arial"/>
          <w:sz w:val="16"/>
          <w:szCs w:val="16"/>
        </w:rPr>
      </w:pPr>
    </w:p>
    <w:p w14:paraId="233E84D0" w14:textId="77777777" w:rsidR="004019BF" w:rsidRPr="008270B7" w:rsidRDefault="004019BF" w:rsidP="008270B7">
      <w:pPr>
        <w:jc w:val="both"/>
        <w:rPr>
          <w:rFonts w:cs="Arial"/>
          <w:sz w:val="16"/>
          <w:szCs w:val="16"/>
        </w:rPr>
      </w:pPr>
      <w:r w:rsidRPr="008270B7">
        <w:rPr>
          <w:rFonts w:cs="Arial"/>
          <w:sz w:val="16"/>
          <w:szCs w:val="16"/>
        </w:rPr>
        <w:t>6.2.1.4. Emitir el sustento actuarial para excluir del cálculo de la reserva de insuficiencia de primas a aquellos siniestros de alta severidad y baja frecuencia.</w:t>
      </w:r>
    </w:p>
    <w:p w14:paraId="3079E59F" w14:textId="77777777" w:rsidR="004019BF" w:rsidRPr="008270B7" w:rsidRDefault="004019BF" w:rsidP="008270B7">
      <w:pPr>
        <w:jc w:val="both"/>
        <w:rPr>
          <w:rFonts w:cs="Arial"/>
          <w:sz w:val="16"/>
          <w:szCs w:val="16"/>
        </w:rPr>
      </w:pPr>
    </w:p>
    <w:p w14:paraId="4F6AD83B" w14:textId="77777777" w:rsidR="004019BF" w:rsidRPr="008270B7" w:rsidRDefault="004019BF" w:rsidP="008270B7">
      <w:pPr>
        <w:jc w:val="both"/>
        <w:rPr>
          <w:rFonts w:cs="Arial"/>
          <w:sz w:val="16"/>
          <w:szCs w:val="16"/>
        </w:rPr>
      </w:pPr>
      <w:r w:rsidRPr="008270B7">
        <w:rPr>
          <w:rFonts w:cs="Arial"/>
          <w:sz w:val="16"/>
          <w:szCs w:val="16"/>
        </w:rPr>
        <w:t>6.2.1.5. Emitir los estudios actuariales que sustentan el cálculo de la reserva matemática.</w:t>
      </w:r>
    </w:p>
    <w:p w14:paraId="50F6369C" w14:textId="77777777" w:rsidR="004019BF" w:rsidRPr="008270B7" w:rsidRDefault="004019BF" w:rsidP="008270B7">
      <w:pPr>
        <w:jc w:val="both"/>
        <w:rPr>
          <w:rFonts w:cs="Arial"/>
          <w:sz w:val="16"/>
          <w:szCs w:val="16"/>
        </w:rPr>
      </w:pPr>
    </w:p>
    <w:p w14:paraId="1099DD16" w14:textId="77777777" w:rsidR="004019BF" w:rsidRPr="008270B7" w:rsidRDefault="004019BF" w:rsidP="008270B7">
      <w:pPr>
        <w:jc w:val="both"/>
        <w:rPr>
          <w:rFonts w:cs="Arial"/>
          <w:sz w:val="16"/>
          <w:szCs w:val="16"/>
        </w:rPr>
      </w:pPr>
      <w:r w:rsidRPr="008270B7">
        <w:rPr>
          <w:rFonts w:cs="Arial"/>
          <w:sz w:val="16"/>
          <w:szCs w:val="16"/>
        </w:rPr>
        <w:t xml:space="preserve">6.2.1.6. Certificar el cálculo del pasivo por participación de utilidades en los ramos de seguros en que dicha participación sea procedente por disposición legal, reglamentaria o contractual. </w:t>
      </w:r>
    </w:p>
    <w:p w14:paraId="79C3435F" w14:textId="77777777" w:rsidR="004019BF" w:rsidRPr="008270B7" w:rsidRDefault="004019BF" w:rsidP="008270B7">
      <w:pPr>
        <w:jc w:val="both"/>
        <w:rPr>
          <w:rFonts w:cs="Arial"/>
          <w:sz w:val="16"/>
          <w:szCs w:val="16"/>
        </w:rPr>
      </w:pPr>
    </w:p>
    <w:p w14:paraId="52FC7E0F" w14:textId="77777777" w:rsidR="004019BF" w:rsidRPr="008270B7" w:rsidRDefault="004019BF" w:rsidP="008270B7">
      <w:pPr>
        <w:jc w:val="both"/>
        <w:rPr>
          <w:rFonts w:cs="Arial"/>
          <w:sz w:val="16"/>
          <w:szCs w:val="16"/>
        </w:rPr>
      </w:pPr>
      <w:r w:rsidRPr="008270B7">
        <w:rPr>
          <w:rFonts w:cs="Arial"/>
          <w:sz w:val="16"/>
          <w:szCs w:val="16"/>
        </w:rPr>
        <w:t>6.2.1.7. Las demás funciones que la normatividad vigente asigne al Actuario Responsable.</w:t>
      </w:r>
    </w:p>
    <w:p w14:paraId="3B7CEAAE" w14:textId="77777777" w:rsidR="004019BF" w:rsidRPr="008270B7" w:rsidRDefault="004019BF" w:rsidP="008270B7">
      <w:pPr>
        <w:jc w:val="both"/>
        <w:rPr>
          <w:rFonts w:cs="Arial"/>
          <w:sz w:val="16"/>
          <w:szCs w:val="16"/>
        </w:rPr>
      </w:pPr>
    </w:p>
    <w:p w14:paraId="4243D7E6" w14:textId="77777777" w:rsidR="004019BF" w:rsidRPr="008270B7" w:rsidRDefault="004019BF" w:rsidP="008270B7">
      <w:pPr>
        <w:jc w:val="both"/>
        <w:rPr>
          <w:rFonts w:cs="Arial"/>
          <w:sz w:val="16"/>
          <w:szCs w:val="16"/>
        </w:rPr>
      </w:pPr>
      <w:r w:rsidRPr="008270B7">
        <w:rPr>
          <w:rFonts w:cs="Arial"/>
          <w:sz w:val="16"/>
          <w:szCs w:val="16"/>
        </w:rPr>
        <w:t>6.2.2. Designación</w:t>
      </w:r>
    </w:p>
    <w:p w14:paraId="3FBE5F5B" w14:textId="77777777" w:rsidR="004019BF" w:rsidRPr="008270B7" w:rsidRDefault="004019BF" w:rsidP="008270B7">
      <w:pPr>
        <w:jc w:val="both"/>
        <w:rPr>
          <w:rFonts w:cs="Arial"/>
          <w:sz w:val="16"/>
          <w:szCs w:val="16"/>
        </w:rPr>
      </w:pPr>
    </w:p>
    <w:p w14:paraId="055D06DF" w14:textId="77777777" w:rsidR="004019BF" w:rsidRPr="008270B7" w:rsidRDefault="004019BF" w:rsidP="008270B7">
      <w:pPr>
        <w:jc w:val="both"/>
        <w:rPr>
          <w:rFonts w:cs="Arial"/>
          <w:sz w:val="16"/>
          <w:szCs w:val="16"/>
        </w:rPr>
      </w:pPr>
      <w:r w:rsidRPr="008270B7">
        <w:rPr>
          <w:rFonts w:cs="Arial"/>
          <w:sz w:val="16"/>
          <w:szCs w:val="16"/>
        </w:rPr>
        <w:t>La junta directiva de cada entidad aseguradora debe designar al Actuario Responsable, quien debe reunir, como mínimo, las siguientes características:</w:t>
      </w:r>
    </w:p>
    <w:p w14:paraId="5CDD4033" w14:textId="77777777" w:rsidR="004019BF" w:rsidRPr="008270B7" w:rsidRDefault="004019BF" w:rsidP="008270B7">
      <w:pPr>
        <w:jc w:val="both"/>
        <w:rPr>
          <w:rFonts w:cs="Arial"/>
          <w:sz w:val="16"/>
          <w:szCs w:val="16"/>
        </w:rPr>
      </w:pPr>
    </w:p>
    <w:p w14:paraId="2EF4BE4B" w14:textId="77777777" w:rsidR="004019BF" w:rsidRPr="008270B7" w:rsidRDefault="004019BF" w:rsidP="008270B7">
      <w:pPr>
        <w:jc w:val="both"/>
        <w:rPr>
          <w:rFonts w:cs="Arial"/>
          <w:sz w:val="16"/>
          <w:szCs w:val="16"/>
        </w:rPr>
      </w:pPr>
      <w:r w:rsidRPr="008270B7">
        <w:rPr>
          <w:rFonts w:cs="Arial"/>
          <w:sz w:val="16"/>
          <w:szCs w:val="16"/>
        </w:rPr>
        <w:t>6.2.2.1. Tener experiencia comprobable de al menos 5 años en elaboración de notas técnicas, cálculo de reservas y fijación de tarifas, relacionadas con la industria aseguradora.</w:t>
      </w:r>
    </w:p>
    <w:p w14:paraId="7E350DF2" w14:textId="77777777" w:rsidR="004019BF" w:rsidRPr="008270B7" w:rsidRDefault="004019BF" w:rsidP="008270B7">
      <w:pPr>
        <w:jc w:val="both"/>
        <w:rPr>
          <w:rFonts w:cs="Arial"/>
          <w:sz w:val="16"/>
          <w:szCs w:val="16"/>
        </w:rPr>
      </w:pPr>
    </w:p>
    <w:p w14:paraId="546500C9" w14:textId="77777777" w:rsidR="004019BF" w:rsidRPr="008270B7" w:rsidRDefault="004019BF" w:rsidP="008270B7">
      <w:pPr>
        <w:jc w:val="both"/>
        <w:rPr>
          <w:rFonts w:cs="Arial"/>
          <w:sz w:val="16"/>
          <w:szCs w:val="16"/>
        </w:rPr>
      </w:pPr>
      <w:r w:rsidRPr="008270B7">
        <w:rPr>
          <w:rFonts w:cs="Arial"/>
          <w:sz w:val="16"/>
          <w:szCs w:val="16"/>
        </w:rPr>
        <w:t xml:space="preserve">6.2.2.2. Tener un título de educación superior que comprenda el núcleo básico de conocimiento de economía, matemáticas, estadística, ingeniería y/o carreras afines, otorgado por una institución de educación superior nacional o internacional. </w:t>
      </w:r>
    </w:p>
    <w:p w14:paraId="41DC133C" w14:textId="77777777" w:rsidR="004019BF" w:rsidRPr="008270B7" w:rsidRDefault="004019BF" w:rsidP="008270B7">
      <w:pPr>
        <w:jc w:val="both"/>
        <w:rPr>
          <w:rFonts w:cs="Arial"/>
          <w:sz w:val="16"/>
          <w:szCs w:val="16"/>
        </w:rPr>
      </w:pPr>
    </w:p>
    <w:p w14:paraId="32DAB412" w14:textId="77777777" w:rsidR="004019BF" w:rsidRPr="008270B7" w:rsidRDefault="004019BF" w:rsidP="008270B7">
      <w:pPr>
        <w:jc w:val="both"/>
        <w:rPr>
          <w:rFonts w:cs="Arial"/>
          <w:sz w:val="16"/>
          <w:szCs w:val="16"/>
        </w:rPr>
      </w:pPr>
      <w:r w:rsidRPr="008270B7">
        <w:rPr>
          <w:rFonts w:cs="Arial"/>
          <w:sz w:val="16"/>
          <w:szCs w:val="16"/>
        </w:rPr>
        <w:t>La junta directiva debe evaluar la exigencia de requisitos adicionales que le permitan constatar la idoneidad y la preparación académica para el desempeño de las funciones del Actuario Responsable, teniendo en cuenta el tamaño y complejidad de los seguros comercializados por la entidad aseguradora. En línea con las mejores prácticas internacionales, es recomendable que la persona designada pertenezca a una asociación profesional que sea miembro pleno de la Asociación Internacional de Actuarios.</w:t>
      </w:r>
    </w:p>
    <w:p w14:paraId="0B3AF720" w14:textId="77777777" w:rsidR="004019BF" w:rsidRPr="008270B7" w:rsidRDefault="004019BF" w:rsidP="008270B7">
      <w:pPr>
        <w:jc w:val="both"/>
        <w:rPr>
          <w:rFonts w:cs="Arial"/>
          <w:sz w:val="16"/>
          <w:szCs w:val="16"/>
        </w:rPr>
      </w:pPr>
    </w:p>
    <w:p w14:paraId="70273F45" w14:textId="77777777" w:rsidR="004019BF" w:rsidRPr="008270B7" w:rsidRDefault="004019BF" w:rsidP="008270B7">
      <w:pPr>
        <w:jc w:val="both"/>
        <w:rPr>
          <w:rFonts w:cs="Arial"/>
          <w:sz w:val="16"/>
          <w:szCs w:val="16"/>
        </w:rPr>
      </w:pPr>
      <w:r w:rsidRPr="008270B7">
        <w:rPr>
          <w:rFonts w:cs="Arial"/>
          <w:sz w:val="16"/>
          <w:szCs w:val="16"/>
        </w:rPr>
        <w:t xml:space="preserve">La designación del Actuario Responsable se configurará con el acta de la junta directiva donde conste el nombramiento. Las entidades deben remitir a la SFC una comunicación suscrita por el representante legal de la entidad aseguradora, en la cual se notifique la designación del Actuario Responsable, dentro de los 15 días hábiles siguientes a dicha designación. Cualquier novedad relacionada con la función del Actuario Responsable debe ser reportada por la entidad dentro del mismo término. </w:t>
      </w:r>
    </w:p>
    <w:p w14:paraId="2CB32032" w14:textId="77777777" w:rsidR="004019BF" w:rsidRPr="008270B7" w:rsidRDefault="004019BF" w:rsidP="008270B7">
      <w:pPr>
        <w:jc w:val="both"/>
        <w:rPr>
          <w:rFonts w:cs="Arial"/>
          <w:sz w:val="16"/>
          <w:szCs w:val="16"/>
        </w:rPr>
      </w:pPr>
    </w:p>
    <w:p w14:paraId="6EE6E7D1" w14:textId="77777777" w:rsidR="004019BF" w:rsidRPr="008270B7" w:rsidRDefault="004019BF" w:rsidP="008270B7">
      <w:pPr>
        <w:jc w:val="both"/>
        <w:rPr>
          <w:rFonts w:cs="Arial"/>
          <w:sz w:val="16"/>
          <w:szCs w:val="16"/>
        </w:rPr>
      </w:pPr>
      <w:r w:rsidRPr="008270B7">
        <w:rPr>
          <w:rFonts w:cs="Arial"/>
          <w:sz w:val="16"/>
          <w:szCs w:val="16"/>
        </w:rPr>
        <w:t>Las entidades pueden designar a un Actuario Responsable suplente, siempre y cuando éste cumpla con los requerimientos establecidos en este capítulo. La designación del suplente debe reportarse en los mismos términos del párrafo anterior.</w:t>
      </w:r>
    </w:p>
    <w:p w14:paraId="2B582BF9" w14:textId="77777777" w:rsidR="004019BF" w:rsidRPr="008270B7" w:rsidRDefault="004019BF" w:rsidP="008270B7">
      <w:pPr>
        <w:jc w:val="both"/>
        <w:rPr>
          <w:rFonts w:cs="Arial"/>
          <w:sz w:val="16"/>
          <w:szCs w:val="16"/>
        </w:rPr>
      </w:pPr>
    </w:p>
    <w:p w14:paraId="709BAA6C" w14:textId="77777777" w:rsidR="004019BF" w:rsidRPr="008270B7" w:rsidRDefault="004019BF" w:rsidP="008270B7">
      <w:pPr>
        <w:jc w:val="both"/>
        <w:rPr>
          <w:rFonts w:cs="Arial"/>
          <w:sz w:val="16"/>
          <w:szCs w:val="16"/>
        </w:rPr>
      </w:pPr>
      <w:r w:rsidRPr="008270B7">
        <w:rPr>
          <w:rFonts w:cs="Arial"/>
          <w:sz w:val="16"/>
          <w:szCs w:val="16"/>
        </w:rPr>
        <w:t>6.2.3. Responsabilidades de la entidad aseguradora</w:t>
      </w:r>
    </w:p>
    <w:p w14:paraId="1EE5EF91" w14:textId="77777777" w:rsidR="004019BF" w:rsidRPr="008270B7" w:rsidRDefault="004019BF" w:rsidP="008270B7">
      <w:pPr>
        <w:jc w:val="both"/>
        <w:rPr>
          <w:rFonts w:cs="Arial"/>
          <w:sz w:val="16"/>
          <w:szCs w:val="16"/>
        </w:rPr>
      </w:pPr>
    </w:p>
    <w:p w14:paraId="76244ABD" w14:textId="77777777" w:rsidR="004019BF" w:rsidRPr="008270B7" w:rsidRDefault="004019BF" w:rsidP="008270B7">
      <w:pPr>
        <w:jc w:val="both"/>
        <w:rPr>
          <w:rFonts w:cs="Arial"/>
          <w:sz w:val="16"/>
          <w:szCs w:val="16"/>
        </w:rPr>
      </w:pPr>
      <w:r w:rsidRPr="008270B7">
        <w:rPr>
          <w:rFonts w:cs="Arial"/>
          <w:sz w:val="16"/>
          <w:szCs w:val="16"/>
        </w:rPr>
        <w:t>La entidad aseguradora debe:</w:t>
      </w:r>
    </w:p>
    <w:p w14:paraId="69543649" w14:textId="77777777" w:rsidR="004019BF" w:rsidRPr="008270B7" w:rsidRDefault="004019BF" w:rsidP="008270B7">
      <w:pPr>
        <w:jc w:val="both"/>
        <w:rPr>
          <w:rFonts w:cs="Arial"/>
          <w:sz w:val="16"/>
          <w:szCs w:val="16"/>
        </w:rPr>
      </w:pPr>
    </w:p>
    <w:p w14:paraId="5EB371A6" w14:textId="77777777" w:rsidR="004019BF" w:rsidRPr="008270B7" w:rsidRDefault="004019BF" w:rsidP="008270B7">
      <w:pPr>
        <w:jc w:val="both"/>
        <w:rPr>
          <w:rFonts w:cs="Arial"/>
          <w:sz w:val="16"/>
          <w:szCs w:val="16"/>
        </w:rPr>
      </w:pPr>
      <w:r w:rsidRPr="008270B7">
        <w:rPr>
          <w:rFonts w:cs="Arial"/>
          <w:sz w:val="16"/>
          <w:szCs w:val="16"/>
        </w:rPr>
        <w:t xml:space="preserve">6.2.3.1. Responder por los actos u omisiones del Actuario Responsable en el ejercicio de sus funciones, sin que pueda exonerarse de dicha responsabilidad. </w:t>
      </w:r>
    </w:p>
    <w:p w14:paraId="251BD30F" w14:textId="77777777" w:rsidR="004019BF" w:rsidRPr="008270B7" w:rsidRDefault="004019BF" w:rsidP="008270B7">
      <w:pPr>
        <w:jc w:val="both"/>
        <w:rPr>
          <w:rFonts w:cs="Arial"/>
          <w:sz w:val="16"/>
          <w:szCs w:val="16"/>
        </w:rPr>
      </w:pPr>
    </w:p>
    <w:p w14:paraId="377CB38D" w14:textId="77777777" w:rsidR="004019BF" w:rsidRPr="008270B7" w:rsidRDefault="004019BF" w:rsidP="008270B7">
      <w:pPr>
        <w:jc w:val="both"/>
        <w:rPr>
          <w:rFonts w:cs="Arial"/>
          <w:sz w:val="16"/>
          <w:szCs w:val="16"/>
          <w:lang w:val="es-CO"/>
        </w:rPr>
      </w:pPr>
      <w:r w:rsidRPr="008270B7">
        <w:rPr>
          <w:rFonts w:cs="Arial"/>
          <w:sz w:val="16"/>
          <w:szCs w:val="16"/>
        </w:rPr>
        <w:t xml:space="preserve">6.2.3.2. Abstenerse de exonerar o limitar la responsabilidad del Actuario Responsable derivada del ejercicio de sus funciones. </w:t>
      </w:r>
    </w:p>
    <w:p w14:paraId="4600FE8A" w14:textId="7664AEB1" w:rsidR="004019BF" w:rsidRPr="008270B7" w:rsidRDefault="004019BF" w:rsidP="008270B7">
      <w:pPr>
        <w:tabs>
          <w:tab w:val="left" w:pos="3375"/>
        </w:tabs>
        <w:jc w:val="both"/>
        <w:rPr>
          <w:rFonts w:cs="Arial"/>
          <w:sz w:val="16"/>
          <w:szCs w:val="16"/>
          <w:lang w:val="es-CO"/>
        </w:rPr>
      </w:pPr>
      <w:r w:rsidRPr="008270B7">
        <w:rPr>
          <w:rFonts w:cs="Arial"/>
          <w:sz w:val="16"/>
          <w:szCs w:val="16"/>
          <w:lang w:val="es-CO"/>
        </w:rPr>
        <w:tab/>
      </w:r>
    </w:p>
    <w:p w14:paraId="2F31D790" w14:textId="77777777" w:rsidR="004019BF" w:rsidRPr="008270B7" w:rsidRDefault="004019BF" w:rsidP="008270B7">
      <w:pPr>
        <w:jc w:val="both"/>
        <w:rPr>
          <w:rFonts w:cs="Arial"/>
          <w:sz w:val="16"/>
          <w:szCs w:val="16"/>
          <w:lang w:val="es-CO"/>
        </w:rPr>
      </w:pPr>
      <w:r w:rsidRPr="008270B7">
        <w:rPr>
          <w:rFonts w:cs="Arial"/>
          <w:sz w:val="16"/>
          <w:szCs w:val="16"/>
          <w:lang w:val="es-CO"/>
        </w:rPr>
        <w:t>6.2.3.3. Garantizar que el Actuario Responsable cuente con las facultades para exigir a las áreas responsables la información necesaria para el ejercicio de sus funciones y con el apoyo efectivo de los administradores de la entidad aseguradora para obtenerla.</w:t>
      </w:r>
    </w:p>
    <w:p w14:paraId="26278A94" w14:textId="77777777" w:rsidR="004019BF" w:rsidRPr="008270B7" w:rsidRDefault="004019BF" w:rsidP="008270B7">
      <w:pPr>
        <w:jc w:val="both"/>
        <w:rPr>
          <w:rFonts w:cs="Arial"/>
          <w:sz w:val="16"/>
          <w:szCs w:val="16"/>
          <w:lang w:val="es-CO"/>
        </w:rPr>
      </w:pPr>
    </w:p>
    <w:p w14:paraId="55FC0C62" w14:textId="77777777" w:rsidR="004019BF" w:rsidRPr="008270B7" w:rsidRDefault="004019BF" w:rsidP="008270B7">
      <w:pPr>
        <w:jc w:val="both"/>
        <w:rPr>
          <w:rFonts w:cs="Arial"/>
          <w:sz w:val="16"/>
          <w:szCs w:val="16"/>
          <w:lang w:val="es-CO"/>
        </w:rPr>
      </w:pPr>
      <w:r w:rsidRPr="008270B7">
        <w:rPr>
          <w:rFonts w:cs="Arial"/>
          <w:sz w:val="16"/>
          <w:szCs w:val="16"/>
          <w:lang w:val="es-CO"/>
        </w:rPr>
        <w:t>6.2.3.4. Establecer mecanismos de reporte directo del Actuario Responsable a la junta directiva y al revisor fiscal de la entidad aseguradora.</w:t>
      </w:r>
    </w:p>
    <w:p w14:paraId="4173E36B" w14:textId="77777777" w:rsidR="004019BF" w:rsidRPr="008270B7" w:rsidRDefault="004019BF" w:rsidP="008270B7">
      <w:pPr>
        <w:jc w:val="both"/>
        <w:rPr>
          <w:rFonts w:cs="Arial"/>
          <w:sz w:val="16"/>
          <w:szCs w:val="16"/>
          <w:lang w:val="es-CO"/>
        </w:rPr>
      </w:pPr>
    </w:p>
    <w:p w14:paraId="15E85538" w14:textId="77777777" w:rsidR="004019BF" w:rsidRPr="008270B7" w:rsidRDefault="004019BF" w:rsidP="008270B7">
      <w:pPr>
        <w:jc w:val="both"/>
        <w:rPr>
          <w:rFonts w:cs="Arial"/>
          <w:sz w:val="16"/>
          <w:szCs w:val="16"/>
          <w:lang w:val="es-CO"/>
        </w:rPr>
      </w:pPr>
      <w:r w:rsidRPr="008270B7">
        <w:rPr>
          <w:rFonts w:cs="Arial"/>
          <w:sz w:val="16"/>
          <w:szCs w:val="16"/>
          <w:lang w:val="es-CO"/>
        </w:rPr>
        <w:t xml:space="preserve">6.2.3.5. Implementar políticas y procedimientos para que el Actuario Responsable conozca oportunamente la información y las decisiones que puedan impactar el cumplimiento de sus funciones. </w:t>
      </w:r>
    </w:p>
    <w:p w14:paraId="0D19F48D" w14:textId="77777777" w:rsidR="004019BF" w:rsidRPr="008270B7" w:rsidRDefault="004019BF" w:rsidP="008270B7">
      <w:pPr>
        <w:jc w:val="both"/>
        <w:rPr>
          <w:rFonts w:cs="Arial"/>
          <w:sz w:val="16"/>
          <w:szCs w:val="16"/>
          <w:lang w:val="es-CO"/>
        </w:rPr>
      </w:pPr>
      <w:r w:rsidRPr="008270B7">
        <w:rPr>
          <w:rFonts w:cs="Arial"/>
          <w:sz w:val="16"/>
          <w:szCs w:val="16"/>
          <w:lang w:val="es-CO"/>
        </w:rPr>
        <w:t>6.</w:t>
      </w:r>
      <w:r w:rsidRPr="008270B7">
        <w:rPr>
          <w:rFonts w:cs="Arial"/>
          <w:sz w:val="16"/>
          <w:szCs w:val="16"/>
        </w:rPr>
        <w:t>2.4.</w:t>
      </w:r>
      <w:r w:rsidRPr="008270B7">
        <w:rPr>
          <w:rFonts w:cs="Arial"/>
          <w:sz w:val="16"/>
          <w:szCs w:val="16"/>
          <w:lang w:val="es-CO"/>
        </w:rPr>
        <w:t xml:space="preserve"> Independencia</w:t>
      </w:r>
    </w:p>
    <w:p w14:paraId="37C78955" w14:textId="77777777" w:rsidR="004019BF" w:rsidRPr="008270B7" w:rsidRDefault="004019BF" w:rsidP="008270B7">
      <w:pPr>
        <w:jc w:val="both"/>
        <w:rPr>
          <w:rFonts w:cs="Arial"/>
          <w:sz w:val="16"/>
          <w:szCs w:val="16"/>
          <w:lang w:val="es-CO"/>
        </w:rPr>
      </w:pPr>
    </w:p>
    <w:p w14:paraId="7CEC5FFC" w14:textId="77777777" w:rsidR="004019BF" w:rsidRPr="008270B7" w:rsidRDefault="004019BF" w:rsidP="008270B7">
      <w:pPr>
        <w:jc w:val="both"/>
        <w:rPr>
          <w:rFonts w:cs="Arial"/>
          <w:sz w:val="16"/>
          <w:szCs w:val="16"/>
          <w:lang w:val="es-CO"/>
        </w:rPr>
      </w:pPr>
      <w:r w:rsidRPr="008270B7">
        <w:rPr>
          <w:rFonts w:cs="Arial"/>
          <w:sz w:val="16"/>
          <w:szCs w:val="16"/>
          <w:lang w:val="es-CO"/>
        </w:rPr>
        <w:lastRenderedPageBreak/>
        <w:t xml:space="preserve">El Actuario Responsable debe ejercer sus funciones con independencia técnica frente a los administradores de la entidad aseguradora distintos a la junta directiva. En caso de presentarse diferencias de criterio entre los administradores de la entidad y el Actuario Responsable en relación con el cumplimiento de sus funciones, éstas deben quedar documentadas junto con las decisiones que se adopten e incluirlas en los reportes que presente a la junta directiva. </w:t>
      </w:r>
    </w:p>
    <w:p w14:paraId="132B4C26" w14:textId="77777777" w:rsidR="004019BF" w:rsidRPr="008270B7" w:rsidRDefault="004019BF" w:rsidP="008270B7">
      <w:pPr>
        <w:jc w:val="both"/>
        <w:rPr>
          <w:rFonts w:cs="Arial"/>
          <w:sz w:val="16"/>
          <w:szCs w:val="16"/>
          <w:lang w:val="es-CO"/>
        </w:rPr>
      </w:pPr>
    </w:p>
    <w:p w14:paraId="7F14FC2F" w14:textId="77777777" w:rsidR="004019BF" w:rsidRPr="008270B7" w:rsidRDefault="004019BF" w:rsidP="008270B7">
      <w:pPr>
        <w:jc w:val="both"/>
        <w:rPr>
          <w:rFonts w:cs="Arial"/>
          <w:sz w:val="16"/>
          <w:szCs w:val="16"/>
          <w:lang w:val="es-CO"/>
        </w:rPr>
      </w:pPr>
      <w:r w:rsidRPr="008270B7">
        <w:rPr>
          <w:rFonts w:cs="Arial"/>
          <w:sz w:val="16"/>
          <w:szCs w:val="16"/>
          <w:lang w:val="es-CO"/>
        </w:rPr>
        <w:t>Para tal efecto, la junta directiva de la entidad aseguradora debe:</w:t>
      </w:r>
    </w:p>
    <w:p w14:paraId="631B819F" w14:textId="77777777" w:rsidR="004019BF" w:rsidRPr="008270B7" w:rsidRDefault="004019BF" w:rsidP="008270B7">
      <w:pPr>
        <w:jc w:val="both"/>
        <w:rPr>
          <w:rFonts w:cs="Arial"/>
          <w:sz w:val="16"/>
          <w:szCs w:val="16"/>
          <w:lang w:val="es-CO"/>
        </w:rPr>
      </w:pPr>
    </w:p>
    <w:p w14:paraId="314895FE" w14:textId="77777777" w:rsidR="004019BF" w:rsidRPr="008270B7" w:rsidRDefault="004019BF" w:rsidP="008270B7">
      <w:pPr>
        <w:jc w:val="both"/>
        <w:rPr>
          <w:rFonts w:cs="Arial"/>
          <w:sz w:val="16"/>
          <w:szCs w:val="16"/>
          <w:lang w:val="es-CO"/>
        </w:rPr>
      </w:pPr>
      <w:r w:rsidRPr="008270B7">
        <w:rPr>
          <w:rFonts w:cs="Arial"/>
          <w:sz w:val="16"/>
          <w:szCs w:val="16"/>
        </w:rPr>
        <w:t xml:space="preserve">6.2.4.1. Garantizar que el Actuario Responsable </w:t>
      </w:r>
      <w:r w:rsidRPr="008270B7">
        <w:rPr>
          <w:rFonts w:cs="Arial"/>
          <w:sz w:val="16"/>
          <w:szCs w:val="16"/>
          <w:lang w:val="es-CO"/>
        </w:rPr>
        <w:t>tenga a su disposición los recursos tecnológicos, humanos y físicos suficientes e idóneos para desempeñar sus funciones con la debida independencia.</w:t>
      </w:r>
    </w:p>
    <w:p w14:paraId="48AEF3F6" w14:textId="77777777" w:rsidR="004019BF" w:rsidRPr="008270B7" w:rsidRDefault="004019BF" w:rsidP="008270B7">
      <w:pPr>
        <w:jc w:val="both"/>
        <w:rPr>
          <w:rFonts w:cs="Arial"/>
          <w:sz w:val="16"/>
          <w:szCs w:val="16"/>
          <w:lang w:val="es-CO"/>
        </w:rPr>
      </w:pPr>
    </w:p>
    <w:p w14:paraId="7AD1F12A" w14:textId="77777777" w:rsidR="004019BF" w:rsidRPr="008270B7" w:rsidRDefault="004019BF" w:rsidP="008270B7">
      <w:pPr>
        <w:jc w:val="both"/>
        <w:rPr>
          <w:rFonts w:cs="Arial"/>
          <w:sz w:val="16"/>
          <w:szCs w:val="16"/>
          <w:lang w:val="es-CO"/>
        </w:rPr>
      </w:pPr>
      <w:r w:rsidRPr="008270B7">
        <w:rPr>
          <w:rFonts w:cs="Arial"/>
          <w:sz w:val="16"/>
          <w:szCs w:val="16"/>
          <w:lang w:val="es-CO"/>
        </w:rPr>
        <w:t>6.2.4.2. Dictar políticas o directrices que aseguren que las decisiones del Actuario Responsable sean objetivas y su opinión técnica se sujete a los principios técnicos de equidad y suficiencia establecidos en el numeral 1.2.2 de este Capítulo.</w:t>
      </w:r>
    </w:p>
    <w:p w14:paraId="631DDF6D" w14:textId="77777777" w:rsidR="004019BF" w:rsidRPr="008270B7" w:rsidRDefault="004019BF" w:rsidP="008270B7">
      <w:pPr>
        <w:jc w:val="both"/>
        <w:rPr>
          <w:rFonts w:cs="Arial"/>
          <w:sz w:val="16"/>
          <w:szCs w:val="16"/>
          <w:lang w:val="es-CO"/>
        </w:rPr>
      </w:pPr>
    </w:p>
    <w:p w14:paraId="0C114C84" w14:textId="77777777" w:rsidR="004019BF" w:rsidRPr="008270B7" w:rsidRDefault="004019BF" w:rsidP="008270B7">
      <w:pPr>
        <w:jc w:val="both"/>
        <w:rPr>
          <w:rFonts w:cs="Arial"/>
          <w:sz w:val="16"/>
          <w:szCs w:val="16"/>
          <w:lang w:val="es-CO"/>
        </w:rPr>
      </w:pPr>
      <w:r w:rsidRPr="008270B7">
        <w:rPr>
          <w:rFonts w:cs="Arial"/>
          <w:sz w:val="16"/>
          <w:szCs w:val="16"/>
          <w:lang w:val="es-CO"/>
        </w:rPr>
        <w:t xml:space="preserve">6.2.4.3. Garantizar que el Actuario Responsable no ejerza labores que puedan generar conflictos de interés con las funciones listadas en el numeral 6.2.1 de este Capítulo. En tal sentido, no puede ejercer funciones comerciales, de suscripción, de tarifación, de indemnizaciones, y en general, funciones relacionadas con la operación de los seguros comercializados por la entidad aseguradora. </w:t>
      </w:r>
    </w:p>
    <w:p w14:paraId="0EB1175B" w14:textId="77777777" w:rsidR="004019BF" w:rsidRPr="008270B7" w:rsidRDefault="004019BF" w:rsidP="008270B7">
      <w:pPr>
        <w:jc w:val="both"/>
        <w:rPr>
          <w:rFonts w:cs="Arial"/>
          <w:sz w:val="16"/>
          <w:szCs w:val="16"/>
          <w:lang w:val="es-CO"/>
        </w:rPr>
      </w:pPr>
    </w:p>
    <w:p w14:paraId="3AD9C8C3" w14:textId="77777777" w:rsidR="004019BF" w:rsidRPr="008270B7" w:rsidRDefault="004019BF" w:rsidP="008270B7">
      <w:pPr>
        <w:jc w:val="both"/>
        <w:rPr>
          <w:rFonts w:cs="Arial"/>
          <w:sz w:val="16"/>
          <w:szCs w:val="16"/>
          <w:lang w:val="es-CO"/>
        </w:rPr>
      </w:pPr>
      <w:r w:rsidRPr="008270B7">
        <w:rPr>
          <w:rFonts w:cs="Arial"/>
          <w:sz w:val="16"/>
          <w:szCs w:val="16"/>
          <w:lang w:val="es-CO"/>
        </w:rPr>
        <w:t>6.2.4.4. Dictar políticas o directrices que aseguren que la remuneración del Actuario Responsable no esté atada al cumplimiento de metas que afecten la objetividad de sus conceptos y decisiones. Se presume que la remuneración en función del resultado técnico de una línea de negocio, ramo, producto de seguros, afecta la objetividad de Actuario Responsable para ejercer sus funciones.</w:t>
      </w:r>
    </w:p>
    <w:p w14:paraId="4FF7BE5A" w14:textId="77777777" w:rsidR="004019BF" w:rsidRPr="008270B7" w:rsidRDefault="004019BF" w:rsidP="008270B7">
      <w:pPr>
        <w:jc w:val="both"/>
        <w:rPr>
          <w:rFonts w:cs="Arial"/>
          <w:sz w:val="16"/>
          <w:szCs w:val="16"/>
          <w:lang w:val="es-CO"/>
        </w:rPr>
      </w:pPr>
    </w:p>
    <w:p w14:paraId="6E4E508B" w14:textId="77777777" w:rsidR="004019BF" w:rsidRPr="008270B7" w:rsidRDefault="004019BF" w:rsidP="008270B7">
      <w:pPr>
        <w:jc w:val="both"/>
        <w:rPr>
          <w:rFonts w:cs="Arial"/>
          <w:sz w:val="16"/>
          <w:szCs w:val="16"/>
          <w:lang w:val="es-CO"/>
        </w:rPr>
      </w:pPr>
      <w:r w:rsidRPr="008270B7">
        <w:rPr>
          <w:rFonts w:cs="Arial"/>
          <w:sz w:val="16"/>
          <w:szCs w:val="16"/>
          <w:lang w:val="es-CO"/>
        </w:rPr>
        <w:t>6.2.5. Actuario Responsable Externo</w:t>
      </w:r>
    </w:p>
    <w:p w14:paraId="4D74DA22" w14:textId="77777777" w:rsidR="004019BF" w:rsidRPr="008270B7" w:rsidRDefault="004019BF" w:rsidP="008270B7">
      <w:pPr>
        <w:jc w:val="both"/>
        <w:rPr>
          <w:rFonts w:cs="Arial"/>
          <w:sz w:val="16"/>
          <w:szCs w:val="16"/>
          <w:lang w:val="es-CO"/>
        </w:rPr>
      </w:pPr>
    </w:p>
    <w:p w14:paraId="16E12B16" w14:textId="77777777" w:rsidR="004019BF" w:rsidRPr="008270B7" w:rsidRDefault="004019BF" w:rsidP="008270B7">
      <w:pPr>
        <w:jc w:val="both"/>
        <w:rPr>
          <w:rFonts w:cs="Arial"/>
          <w:sz w:val="16"/>
          <w:szCs w:val="16"/>
          <w:lang w:val="es-CO"/>
        </w:rPr>
      </w:pPr>
      <w:r w:rsidRPr="008270B7">
        <w:rPr>
          <w:rFonts w:cs="Arial"/>
          <w:sz w:val="16"/>
          <w:szCs w:val="16"/>
          <w:lang w:val="es-CO"/>
        </w:rPr>
        <w:t>La entidad aseguradora puede contratar a un Actuario Responsable Externo, al cual le son aplicables las instrucciones establecidas en los numerales 6.2.1 a 6.2.4 de este capítulo. Adicionalmente, la entidad aseguradora debe:</w:t>
      </w:r>
    </w:p>
    <w:p w14:paraId="573EB193" w14:textId="77777777" w:rsidR="004019BF" w:rsidRPr="008270B7" w:rsidRDefault="004019BF" w:rsidP="008270B7">
      <w:pPr>
        <w:jc w:val="both"/>
        <w:rPr>
          <w:rFonts w:cs="Arial"/>
          <w:sz w:val="16"/>
          <w:szCs w:val="16"/>
          <w:lang w:val="es-CO"/>
        </w:rPr>
      </w:pPr>
    </w:p>
    <w:p w14:paraId="1B2F324A" w14:textId="77777777" w:rsidR="004019BF" w:rsidRPr="008270B7" w:rsidRDefault="004019BF" w:rsidP="008270B7">
      <w:pPr>
        <w:jc w:val="both"/>
        <w:rPr>
          <w:rFonts w:cs="Arial"/>
          <w:sz w:val="16"/>
          <w:szCs w:val="16"/>
          <w:lang w:val="es-CO"/>
        </w:rPr>
      </w:pPr>
      <w:r w:rsidRPr="008270B7">
        <w:rPr>
          <w:rFonts w:cs="Arial"/>
          <w:sz w:val="16"/>
          <w:szCs w:val="16"/>
          <w:lang w:val="es-CO"/>
        </w:rPr>
        <w:t>6.2.5.1. Velar por que el Actuario Responsable Externo revele y administre los potenciales conflictos de interés, incluyendo aquellos derivados de relaciones contractuales del Actuario Responsable con terceros.</w:t>
      </w:r>
    </w:p>
    <w:p w14:paraId="7CA90B35" w14:textId="77777777" w:rsidR="004019BF" w:rsidRPr="008270B7" w:rsidRDefault="004019BF" w:rsidP="008270B7">
      <w:pPr>
        <w:jc w:val="both"/>
        <w:rPr>
          <w:rFonts w:cs="Arial"/>
          <w:sz w:val="16"/>
          <w:szCs w:val="16"/>
          <w:lang w:val="es-CO"/>
        </w:rPr>
      </w:pPr>
    </w:p>
    <w:p w14:paraId="7C1FF7A5" w14:textId="77777777" w:rsidR="004019BF" w:rsidRPr="008270B7" w:rsidRDefault="004019BF" w:rsidP="008270B7">
      <w:pPr>
        <w:jc w:val="both"/>
        <w:rPr>
          <w:rFonts w:cs="Arial"/>
          <w:sz w:val="16"/>
          <w:szCs w:val="16"/>
          <w:lang w:val="es-CO"/>
        </w:rPr>
      </w:pPr>
      <w:r w:rsidRPr="008270B7">
        <w:rPr>
          <w:rFonts w:cs="Arial"/>
          <w:sz w:val="16"/>
          <w:szCs w:val="16"/>
          <w:lang w:val="es-CO"/>
        </w:rPr>
        <w:t>6.2.5.2. Verificar que el Actuario Responsable Externo cuenta con la capacidad técnica y operativa suficiente para el adecuado desempeño de sus funciones. Se considera que el Actuario Responsable Externo carece de capacidad operativa suficiente cuando opera como tal en más de 5 entidades aseguradoras.</w:t>
      </w:r>
    </w:p>
    <w:p w14:paraId="716C7DD5" w14:textId="77777777" w:rsidR="004019BF" w:rsidRPr="008270B7" w:rsidRDefault="004019BF" w:rsidP="008270B7">
      <w:pPr>
        <w:jc w:val="both"/>
        <w:rPr>
          <w:rFonts w:cs="Arial"/>
          <w:sz w:val="16"/>
          <w:szCs w:val="16"/>
          <w:lang w:val="es-CO"/>
        </w:rPr>
      </w:pPr>
    </w:p>
    <w:p w14:paraId="6A244F2F" w14:textId="77777777" w:rsidR="004019BF" w:rsidRDefault="004019BF" w:rsidP="008270B7">
      <w:pPr>
        <w:jc w:val="both"/>
        <w:rPr>
          <w:rFonts w:cs="Arial"/>
          <w:sz w:val="16"/>
          <w:szCs w:val="16"/>
        </w:rPr>
      </w:pPr>
      <w:r w:rsidRPr="008270B7">
        <w:rPr>
          <w:rFonts w:cs="Arial"/>
          <w:sz w:val="16"/>
          <w:szCs w:val="16"/>
        </w:rPr>
        <w:t>6.2.5.3. Garantizar que el Actuario Responsable conteste oportunamente a los requerimientos de la SFC y asista a las convocatorias efectuadas por ésta.</w:t>
      </w:r>
    </w:p>
    <w:p w14:paraId="679528E3" w14:textId="77777777" w:rsidR="00BF5483" w:rsidRDefault="00BF5483" w:rsidP="00BF5483">
      <w:pPr>
        <w:pBdr>
          <w:left w:val="single" w:sz="4" w:space="1" w:color="auto"/>
        </w:pBdr>
        <w:jc w:val="both"/>
        <w:rPr>
          <w:rFonts w:cs="Arial"/>
          <w:sz w:val="16"/>
          <w:szCs w:val="16"/>
        </w:rPr>
      </w:pPr>
    </w:p>
    <w:p w14:paraId="3CB738FD" w14:textId="77777777" w:rsidR="00BF5483" w:rsidRDefault="00BF5483" w:rsidP="00BF5483">
      <w:pPr>
        <w:pBdr>
          <w:left w:val="single" w:sz="4" w:space="1" w:color="auto"/>
        </w:pBdr>
        <w:jc w:val="both"/>
        <w:rPr>
          <w:rFonts w:cs="Arial"/>
          <w:sz w:val="16"/>
          <w:szCs w:val="16"/>
        </w:rPr>
      </w:pPr>
    </w:p>
    <w:p w14:paraId="3CFBEF37" w14:textId="77777777" w:rsidR="00BF5483" w:rsidRDefault="00BF5483" w:rsidP="00BF5483">
      <w:pPr>
        <w:pBdr>
          <w:left w:val="single" w:sz="4" w:space="1" w:color="auto"/>
        </w:pBdr>
        <w:jc w:val="both"/>
        <w:rPr>
          <w:rFonts w:cs="Arial"/>
          <w:sz w:val="16"/>
          <w:szCs w:val="16"/>
        </w:rPr>
      </w:pPr>
    </w:p>
    <w:p w14:paraId="47307890" w14:textId="77777777" w:rsidR="00BF5483" w:rsidRDefault="00BF5483" w:rsidP="00BF5483">
      <w:pPr>
        <w:pBdr>
          <w:left w:val="single" w:sz="4" w:space="1" w:color="auto"/>
        </w:pBdr>
        <w:jc w:val="both"/>
        <w:rPr>
          <w:rFonts w:cs="Arial"/>
          <w:sz w:val="16"/>
          <w:szCs w:val="16"/>
        </w:rPr>
      </w:pPr>
    </w:p>
    <w:p w14:paraId="47D6E01E" w14:textId="77777777" w:rsidR="00BF5483" w:rsidRDefault="00BF5483" w:rsidP="00BF5483">
      <w:pPr>
        <w:pBdr>
          <w:left w:val="single" w:sz="4" w:space="1" w:color="auto"/>
        </w:pBdr>
        <w:jc w:val="both"/>
        <w:rPr>
          <w:rFonts w:cs="Arial"/>
          <w:sz w:val="16"/>
          <w:szCs w:val="16"/>
        </w:rPr>
      </w:pPr>
    </w:p>
    <w:p w14:paraId="2DD2C563" w14:textId="77777777" w:rsidR="00BF5483" w:rsidRDefault="00BF5483" w:rsidP="00BF5483">
      <w:pPr>
        <w:pBdr>
          <w:left w:val="single" w:sz="4" w:space="1" w:color="auto"/>
        </w:pBdr>
        <w:jc w:val="both"/>
        <w:rPr>
          <w:rFonts w:cs="Arial"/>
          <w:sz w:val="16"/>
          <w:szCs w:val="16"/>
        </w:rPr>
      </w:pPr>
    </w:p>
    <w:p w14:paraId="1E4D911A" w14:textId="77777777" w:rsidR="00BF5483" w:rsidRDefault="00BF5483" w:rsidP="00BF5483">
      <w:pPr>
        <w:pBdr>
          <w:left w:val="single" w:sz="4" w:space="1" w:color="auto"/>
        </w:pBdr>
        <w:jc w:val="both"/>
        <w:rPr>
          <w:rFonts w:cs="Arial"/>
          <w:sz w:val="16"/>
          <w:szCs w:val="16"/>
        </w:rPr>
      </w:pPr>
    </w:p>
    <w:p w14:paraId="25117C87" w14:textId="77777777" w:rsidR="00BF5483" w:rsidRDefault="00BF5483" w:rsidP="00BF5483">
      <w:pPr>
        <w:pBdr>
          <w:left w:val="single" w:sz="4" w:space="1" w:color="auto"/>
        </w:pBdr>
        <w:jc w:val="both"/>
        <w:rPr>
          <w:rFonts w:cs="Arial"/>
          <w:sz w:val="16"/>
          <w:szCs w:val="16"/>
        </w:rPr>
      </w:pPr>
    </w:p>
    <w:p w14:paraId="65185F4A" w14:textId="77777777" w:rsidR="00BF5483" w:rsidRDefault="00BF5483" w:rsidP="00BF5483">
      <w:pPr>
        <w:pBdr>
          <w:left w:val="single" w:sz="4" w:space="1" w:color="auto"/>
        </w:pBdr>
        <w:jc w:val="both"/>
        <w:rPr>
          <w:rFonts w:cs="Arial"/>
          <w:sz w:val="16"/>
          <w:szCs w:val="16"/>
        </w:rPr>
      </w:pPr>
    </w:p>
    <w:p w14:paraId="44CDD7AF" w14:textId="77777777" w:rsidR="00BF5483" w:rsidRDefault="00BF5483" w:rsidP="00BF5483">
      <w:pPr>
        <w:pBdr>
          <w:left w:val="single" w:sz="4" w:space="1" w:color="auto"/>
        </w:pBdr>
        <w:jc w:val="both"/>
        <w:rPr>
          <w:rFonts w:cs="Arial"/>
          <w:sz w:val="16"/>
          <w:szCs w:val="16"/>
        </w:rPr>
      </w:pPr>
    </w:p>
    <w:p w14:paraId="29740176" w14:textId="77777777" w:rsidR="00BF5483" w:rsidRDefault="00BF5483" w:rsidP="00BF5483">
      <w:pPr>
        <w:pBdr>
          <w:left w:val="single" w:sz="4" w:space="1" w:color="auto"/>
        </w:pBdr>
        <w:jc w:val="both"/>
        <w:rPr>
          <w:rFonts w:cs="Arial"/>
          <w:sz w:val="16"/>
          <w:szCs w:val="16"/>
        </w:rPr>
      </w:pPr>
    </w:p>
    <w:p w14:paraId="695E8F2C" w14:textId="77777777" w:rsidR="00BF5483" w:rsidRDefault="00BF5483" w:rsidP="00BF5483">
      <w:pPr>
        <w:pBdr>
          <w:left w:val="single" w:sz="4" w:space="1" w:color="auto"/>
        </w:pBdr>
        <w:jc w:val="both"/>
        <w:rPr>
          <w:rFonts w:cs="Arial"/>
          <w:sz w:val="16"/>
          <w:szCs w:val="16"/>
        </w:rPr>
      </w:pPr>
    </w:p>
    <w:p w14:paraId="10B9B9FB" w14:textId="77777777" w:rsidR="00BF5483" w:rsidRDefault="00BF5483" w:rsidP="00BF5483">
      <w:pPr>
        <w:pBdr>
          <w:left w:val="single" w:sz="4" w:space="1" w:color="auto"/>
        </w:pBdr>
        <w:jc w:val="both"/>
        <w:rPr>
          <w:rFonts w:cs="Arial"/>
          <w:sz w:val="16"/>
          <w:szCs w:val="16"/>
        </w:rPr>
      </w:pPr>
    </w:p>
    <w:p w14:paraId="3CFEDBAF" w14:textId="77777777" w:rsidR="00BF5483" w:rsidRDefault="00BF5483" w:rsidP="00BF5483">
      <w:pPr>
        <w:pBdr>
          <w:left w:val="single" w:sz="4" w:space="1" w:color="auto"/>
        </w:pBdr>
        <w:jc w:val="both"/>
        <w:rPr>
          <w:rFonts w:cs="Arial"/>
          <w:sz w:val="16"/>
          <w:szCs w:val="16"/>
        </w:rPr>
      </w:pPr>
    </w:p>
    <w:p w14:paraId="3656C944" w14:textId="77777777" w:rsidR="00BF5483" w:rsidRDefault="00BF5483" w:rsidP="00BF5483">
      <w:pPr>
        <w:pBdr>
          <w:left w:val="single" w:sz="4" w:space="1" w:color="auto"/>
        </w:pBdr>
        <w:jc w:val="both"/>
        <w:rPr>
          <w:rFonts w:cs="Arial"/>
          <w:sz w:val="16"/>
          <w:szCs w:val="16"/>
        </w:rPr>
      </w:pPr>
    </w:p>
    <w:p w14:paraId="10FB1F61" w14:textId="77777777" w:rsidR="00BF5483" w:rsidRDefault="00BF5483" w:rsidP="00BF5483">
      <w:pPr>
        <w:pBdr>
          <w:left w:val="single" w:sz="4" w:space="1" w:color="auto"/>
        </w:pBdr>
        <w:jc w:val="both"/>
        <w:rPr>
          <w:rFonts w:cs="Arial"/>
          <w:sz w:val="16"/>
          <w:szCs w:val="16"/>
        </w:rPr>
      </w:pPr>
    </w:p>
    <w:p w14:paraId="5BD81795" w14:textId="77777777" w:rsidR="00BF5483" w:rsidRDefault="00BF5483" w:rsidP="00BF5483">
      <w:pPr>
        <w:pBdr>
          <w:left w:val="single" w:sz="4" w:space="1" w:color="auto"/>
        </w:pBdr>
        <w:jc w:val="both"/>
        <w:rPr>
          <w:rFonts w:cs="Arial"/>
          <w:sz w:val="16"/>
          <w:szCs w:val="16"/>
        </w:rPr>
      </w:pPr>
    </w:p>
    <w:p w14:paraId="7E85E12D" w14:textId="77777777" w:rsidR="00BF5483" w:rsidRDefault="00BF5483" w:rsidP="00BF5483">
      <w:pPr>
        <w:pBdr>
          <w:left w:val="single" w:sz="4" w:space="1" w:color="auto"/>
        </w:pBdr>
        <w:jc w:val="both"/>
        <w:rPr>
          <w:rFonts w:cs="Arial"/>
          <w:sz w:val="16"/>
          <w:szCs w:val="16"/>
        </w:rPr>
      </w:pPr>
    </w:p>
    <w:p w14:paraId="6BD0EC92" w14:textId="77777777" w:rsidR="00BF5483" w:rsidRDefault="00BF5483" w:rsidP="00BF5483">
      <w:pPr>
        <w:pBdr>
          <w:left w:val="single" w:sz="4" w:space="1" w:color="auto"/>
        </w:pBdr>
        <w:jc w:val="both"/>
        <w:rPr>
          <w:rFonts w:cs="Arial"/>
          <w:sz w:val="16"/>
          <w:szCs w:val="16"/>
        </w:rPr>
      </w:pPr>
    </w:p>
    <w:p w14:paraId="1D506691" w14:textId="77777777" w:rsidR="00BF5483" w:rsidRDefault="00BF5483" w:rsidP="00BF5483">
      <w:pPr>
        <w:pBdr>
          <w:left w:val="single" w:sz="4" w:space="1" w:color="auto"/>
        </w:pBdr>
        <w:jc w:val="both"/>
        <w:rPr>
          <w:rFonts w:cs="Arial"/>
          <w:sz w:val="16"/>
          <w:szCs w:val="16"/>
        </w:rPr>
      </w:pPr>
    </w:p>
    <w:p w14:paraId="0DBE05AD" w14:textId="77777777" w:rsidR="00BF5483" w:rsidRDefault="00BF5483" w:rsidP="00BF5483">
      <w:pPr>
        <w:pBdr>
          <w:left w:val="single" w:sz="4" w:space="1" w:color="auto"/>
        </w:pBdr>
        <w:jc w:val="both"/>
        <w:rPr>
          <w:rFonts w:cs="Arial"/>
          <w:sz w:val="16"/>
          <w:szCs w:val="16"/>
        </w:rPr>
      </w:pPr>
    </w:p>
    <w:p w14:paraId="05FD49B6" w14:textId="77777777" w:rsidR="00BF5483" w:rsidRDefault="00BF5483" w:rsidP="00BF5483">
      <w:pPr>
        <w:pBdr>
          <w:left w:val="single" w:sz="4" w:space="1" w:color="auto"/>
        </w:pBdr>
        <w:jc w:val="both"/>
        <w:rPr>
          <w:rFonts w:cs="Arial"/>
          <w:sz w:val="16"/>
          <w:szCs w:val="16"/>
        </w:rPr>
      </w:pPr>
    </w:p>
    <w:p w14:paraId="124B346B" w14:textId="77777777" w:rsidR="00BF5483" w:rsidRDefault="00BF5483" w:rsidP="00BF5483">
      <w:pPr>
        <w:pBdr>
          <w:left w:val="single" w:sz="4" w:space="1" w:color="auto"/>
        </w:pBdr>
        <w:jc w:val="both"/>
        <w:rPr>
          <w:rFonts w:cs="Arial"/>
          <w:sz w:val="16"/>
          <w:szCs w:val="16"/>
        </w:rPr>
      </w:pPr>
    </w:p>
    <w:p w14:paraId="6888D4FE" w14:textId="77777777" w:rsidR="00BF5483" w:rsidRDefault="00BF5483" w:rsidP="00BF5483">
      <w:pPr>
        <w:pBdr>
          <w:left w:val="single" w:sz="4" w:space="1" w:color="auto"/>
        </w:pBdr>
        <w:jc w:val="both"/>
        <w:rPr>
          <w:rFonts w:cs="Arial"/>
          <w:sz w:val="16"/>
          <w:szCs w:val="16"/>
        </w:rPr>
      </w:pPr>
    </w:p>
    <w:p w14:paraId="5060F325" w14:textId="77777777" w:rsidR="00BF5483" w:rsidRDefault="00BF5483" w:rsidP="00BF5483">
      <w:pPr>
        <w:pBdr>
          <w:left w:val="single" w:sz="4" w:space="1" w:color="auto"/>
        </w:pBdr>
        <w:jc w:val="both"/>
        <w:rPr>
          <w:rFonts w:cs="Arial"/>
          <w:sz w:val="16"/>
          <w:szCs w:val="16"/>
        </w:rPr>
      </w:pPr>
    </w:p>
    <w:p w14:paraId="29162EA6" w14:textId="77777777" w:rsidR="00BF5483" w:rsidRDefault="00BF5483" w:rsidP="00BF5483">
      <w:pPr>
        <w:pBdr>
          <w:left w:val="single" w:sz="4" w:space="1" w:color="auto"/>
        </w:pBdr>
        <w:jc w:val="both"/>
        <w:rPr>
          <w:rFonts w:cs="Arial"/>
          <w:sz w:val="16"/>
          <w:szCs w:val="16"/>
        </w:rPr>
      </w:pPr>
    </w:p>
    <w:p w14:paraId="02171768" w14:textId="77777777" w:rsidR="00BF5483" w:rsidRDefault="00BF5483" w:rsidP="00BF5483">
      <w:pPr>
        <w:pBdr>
          <w:left w:val="single" w:sz="4" w:space="1" w:color="auto"/>
        </w:pBdr>
        <w:jc w:val="both"/>
        <w:rPr>
          <w:rFonts w:cs="Arial"/>
          <w:sz w:val="16"/>
          <w:szCs w:val="16"/>
        </w:rPr>
      </w:pPr>
    </w:p>
    <w:p w14:paraId="00F8E206" w14:textId="77777777" w:rsidR="00BF5483" w:rsidRDefault="00BF5483" w:rsidP="00BF5483">
      <w:pPr>
        <w:pBdr>
          <w:left w:val="single" w:sz="4" w:space="1" w:color="auto"/>
        </w:pBdr>
        <w:jc w:val="both"/>
        <w:rPr>
          <w:rFonts w:cs="Arial"/>
          <w:sz w:val="16"/>
          <w:szCs w:val="16"/>
        </w:rPr>
      </w:pPr>
    </w:p>
    <w:p w14:paraId="157FF527" w14:textId="77777777" w:rsidR="00BF5483" w:rsidRDefault="00BF5483" w:rsidP="00BF5483">
      <w:pPr>
        <w:pBdr>
          <w:left w:val="single" w:sz="4" w:space="1" w:color="auto"/>
        </w:pBdr>
        <w:jc w:val="both"/>
        <w:rPr>
          <w:rFonts w:cs="Arial"/>
          <w:sz w:val="16"/>
          <w:szCs w:val="16"/>
        </w:rPr>
      </w:pPr>
    </w:p>
    <w:p w14:paraId="58F2E40C" w14:textId="77777777" w:rsidR="00BF5483" w:rsidRDefault="00BF5483" w:rsidP="00BF5483">
      <w:pPr>
        <w:pBdr>
          <w:left w:val="single" w:sz="4" w:space="1" w:color="auto"/>
        </w:pBdr>
        <w:jc w:val="both"/>
        <w:rPr>
          <w:rFonts w:cs="Arial"/>
          <w:sz w:val="16"/>
          <w:szCs w:val="16"/>
        </w:rPr>
      </w:pPr>
    </w:p>
    <w:p w14:paraId="63A60A95" w14:textId="77777777" w:rsidR="00BF5483" w:rsidRDefault="00BF5483" w:rsidP="00BF5483">
      <w:pPr>
        <w:pBdr>
          <w:left w:val="single" w:sz="4" w:space="1" w:color="auto"/>
        </w:pBdr>
        <w:jc w:val="both"/>
        <w:rPr>
          <w:rFonts w:cs="Arial"/>
          <w:sz w:val="16"/>
          <w:szCs w:val="16"/>
        </w:rPr>
      </w:pPr>
    </w:p>
    <w:p w14:paraId="7AA614E6" w14:textId="77777777" w:rsidR="00BF5483" w:rsidRDefault="00BF5483" w:rsidP="00BF5483">
      <w:pPr>
        <w:pBdr>
          <w:left w:val="single" w:sz="4" w:space="1" w:color="auto"/>
        </w:pBdr>
        <w:jc w:val="both"/>
        <w:rPr>
          <w:rFonts w:cs="Arial"/>
          <w:sz w:val="16"/>
          <w:szCs w:val="16"/>
        </w:rPr>
      </w:pPr>
    </w:p>
    <w:p w14:paraId="596773D0" w14:textId="77777777" w:rsidR="00BF5483" w:rsidRDefault="00BF5483" w:rsidP="00BF5483">
      <w:pPr>
        <w:pBdr>
          <w:left w:val="single" w:sz="4" w:space="1" w:color="auto"/>
        </w:pBdr>
        <w:jc w:val="both"/>
        <w:rPr>
          <w:rFonts w:cs="Arial"/>
          <w:sz w:val="16"/>
          <w:szCs w:val="16"/>
        </w:rPr>
      </w:pPr>
    </w:p>
    <w:p w14:paraId="6359ED2E" w14:textId="77777777" w:rsidR="00BF5483" w:rsidRDefault="00BF5483" w:rsidP="00BF5483">
      <w:pPr>
        <w:pBdr>
          <w:left w:val="single" w:sz="4" w:space="1" w:color="auto"/>
        </w:pBdr>
        <w:jc w:val="both"/>
        <w:rPr>
          <w:rFonts w:cs="Arial"/>
          <w:sz w:val="16"/>
          <w:szCs w:val="16"/>
        </w:rPr>
      </w:pPr>
    </w:p>
    <w:p w14:paraId="1C8E1A6D" w14:textId="77777777" w:rsidR="00BF5483" w:rsidRDefault="00BF5483" w:rsidP="00BF5483">
      <w:pPr>
        <w:pBdr>
          <w:left w:val="single" w:sz="4" w:space="1" w:color="auto"/>
        </w:pBdr>
        <w:jc w:val="both"/>
        <w:rPr>
          <w:rFonts w:cs="Arial"/>
          <w:sz w:val="16"/>
          <w:szCs w:val="16"/>
        </w:rPr>
      </w:pPr>
    </w:p>
    <w:p w14:paraId="000F4A0F" w14:textId="77777777" w:rsidR="00BF5483" w:rsidRDefault="00BF5483" w:rsidP="00BF5483">
      <w:pPr>
        <w:pBdr>
          <w:left w:val="single" w:sz="4" w:space="1" w:color="auto"/>
        </w:pBdr>
        <w:jc w:val="both"/>
        <w:rPr>
          <w:rFonts w:cs="Arial"/>
          <w:sz w:val="16"/>
          <w:szCs w:val="16"/>
        </w:rPr>
      </w:pPr>
    </w:p>
    <w:p w14:paraId="33BD134E" w14:textId="77777777" w:rsidR="00BF5483" w:rsidRDefault="00BF5483" w:rsidP="00BF5483">
      <w:pPr>
        <w:pBdr>
          <w:left w:val="single" w:sz="4" w:space="1" w:color="auto"/>
        </w:pBdr>
        <w:jc w:val="both"/>
        <w:rPr>
          <w:rFonts w:cs="Arial"/>
          <w:sz w:val="16"/>
          <w:szCs w:val="16"/>
        </w:rPr>
      </w:pPr>
    </w:p>
    <w:p w14:paraId="7ACC5ED4" w14:textId="77777777" w:rsidR="00BF5483" w:rsidRDefault="00BF5483" w:rsidP="00BF5483">
      <w:pPr>
        <w:pBdr>
          <w:left w:val="single" w:sz="4" w:space="1" w:color="auto"/>
        </w:pBdr>
        <w:jc w:val="both"/>
        <w:rPr>
          <w:rFonts w:cs="Arial"/>
          <w:sz w:val="16"/>
          <w:szCs w:val="16"/>
        </w:rPr>
      </w:pPr>
    </w:p>
    <w:p w14:paraId="0A8736B8" w14:textId="77777777" w:rsidR="00BF5483" w:rsidRDefault="00BF5483" w:rsidP="00BF5483">
      <w:pPr>
        <w:pBdr>
          <w:left w:val="single" w:sz="4" w:space="1" w:color="auto"/>
        </w:pBdr>
        <w:jc w:val="both"/>
        <w:rPr>
          <w:rFonts w:cs="Arial"/>
          <w:sz w:val="16"/>
          <w:szCs w:val="16"/>
        </w:rPr>
      </w:pPr>
    </w:p>
    <w:p w14:paraId="54B888DD" w14:textId="77777777" w:rsidR="00BF5483" w:rsidRDefault="00BF5483" w:rsidP="00BF5483">
      <w:pPr>
        <w:pBdr>
          <w:left w:val="single" w:sz="4" w:space="1" w:color="auto"/>
        </w:pBdr>
        <w:jc w:val="both"/>
        <w:rPr>
          <w:rFonts w:cs="Arial"/>
          <w:sz w:val="16"/>
          <w:szCs w:val="16"/>
        </w:rPr>
      </w:pPr>
    </w:p>
    <w:p w14:paraId="09CDC9EF" w14:textId="77777777" w:rsidR="00BF5483" w:rsidRDefault="00BF5483" w:rsidP="00BF5483">
      <w:pPr>
        <w:pBdr>
          <w:left w:val="single" w:sz="4" w:space="1" w:color="auto"/>
        </w:pBdr>
        <w:jc w:val="both"/>
        <w:rPr>
          <w:rFonts w:cs="Arial"/>
          <w:sz w:val="16"/>
          <w:szCs w:val="16"/>
        </w:rPr>
      </w:pPr>
    </w:p>
    <w:p w14:paraId="45484C28" w14:textId="77777777" w:rsidR="00BF5483" w:rsidRDefault="00BF5483" w:rsidP="00BF5483">
      <w:pPr>
        <w:pBdr>
          <w:left w:val="single" w:sz="4" w:space="1" w:color="auto"/>
        </w:pBdr>
        <w:jc w:val="both"/>
        <w:rPr>
          <w:rFonts w:cs="Arial"/>
          <w:sz w:val="16"/>
          <w:szCs w:val="16"/>
        </w:rPr>
      </w:pPr>
    </w:p>
    <w:p w14:paraId="344B300F" w14:textId="77777777" w:rsidR="00BF5483" w:rsidRDefault="00BF5483" w:rsidP="00BF5483">
      <w:pPr>
        <w:pBdr>
          <w:left w:val="single" w:sz="4" w:space="1" w:color="auto"/>
        </w:pBdr>
        <w:jc w:val="both"/>
        <w:rPr>
          <w:rFonts w:cs="Arial"/>
          <w:sz w:val="16"/>
          <w:szCs w:val="16"/>
        </w:rPr>
      </w:pPr>
    </w:p>
    <w:p w14:paraId="0DA0661F" w14:textId="77777777" w:rsidR="00BF5483" w:rsidRDefault="00BF5483" w:rsidP="00BF5483">
      <w:pPr>
        <w:pBdr>
          <w:left w:val="single" w:sz="4" w:space="1" w:color="auto"/>
        </w:pBdr>
        <w:jc w:val="both"/>
        <w:rPr>
          <w:rFonts w:cs="Arial"/>
          <w:sz w:val="16"/>
          <w:szCs w:val="16"/>
        </w:rPr>
      </w:pPr>
    </w:p>
    <w:p w14:paraId="3D0903B8" w14:textId="77777777" w:rsidR="00BF5483" w:rsidRDefault="00BF5483" w:rsidP="00BF5483">
      <w:pPr>
        <w:pBdr>
          <w:left w:val="single" w:sz="4" w:space="1" w:color="auto"/>
        </w:pBdr>
        <w:jc w:val="both"/>
        <w:rPr>
          <w:rFonts w:cs="Arial"/>
          <w:sz w:val="16"/>
          <w:szCs w:val="16"/>
        </w:rPr>
      </w:pPr>
    </w:p>
    <w:p w14:paraId="484B4C34" w14:textId="77777777" w:rsidR="00BF5483" w:rsidRDefault="00BF5483" w:rsidP="00BF5483">
      <w:pPr>
        <w:pBdr>
          <w:left w:val="single" w:sz="4" w:space="1" w:color="auto"/>
        </w:pBdr>
        <w:jc w:val="both"/>
        <w:rPr>
          <w:rFonts w:cs="Arial"/>
          <w:sz w:val="16"/>
          <w:szCs w:val="16"/>
        </w:rPr>
      </w:pPr>
    </w:p>
    <w:p w14:paraId="60C6F8AE" w14:textId="77777777" w:rsidR="00BF5483" w:rsidRDefault="00BF5483" w:rsidP="00BF5483">
      <w:pPr>
        <w:pBdr>
          <w:left w:val="single" w:sz="4" w:space="1" w:color="auto"/>
        </w:pBdr>
        <w:jc w:val="both"/>
        <w:rPr>
          <w:rFonts w:cs="Arial"/>
          <w:sz w:val="16"/>
          <w:szCs w:val="16"/>
        </w:rPr>
      </w:pPr>
    </w:p>
    <w:p w14:paraId="4D823337" w14:textId="77777777" w:rsidR="00BF5483" w:rsidRPr="008270B7" w:rsidRDefault="00BF5483" w:rsidP="008270B7">
      <w:pPr>
        <w:jc w:val="both"/>
        <w:rPr>
          <w:rFonts w:cs="Arial"/>
          <w:sz w:val="16"/>
          <w:szCs w:val="16"/>
        </w:rPr>
      </w:pPr>
    </w:p>
    <w:p w14:paraId="0DFEB331" w14:textId="77777777" w:rsidR="004019BF" w:rsidRPr="008270B7" w:rsidRDefault="004019BF" w:rsidP="008270B7">
      <w:pPr>
        <w:jc w:val="both"/>
        <w:rPr>
          <w:rFonts w:cs="Arial"/>
          <w:sz w:val="16"/>
          <w:szCs w:val="16"/>
        </w:rPr>
      </w:pPr>
    </w:p>
    <w:p w14:paraId="4ED2E018" w14:textId="77777777" w:rsidR="004019BF" w:rsidRPr="008270B7" w:rsidRDefault="004019BF" w:rsidP="008270B7">
      <w:pPr>
        <w:jc w:val="both"/>
        <w:rPr>
          <w:rFonts w:cs="Arial"/>
          <w:sz w:val="16"/>
          <w:szCs w:val="16"/>
        </w:rPr>
        <w:sectPr w:rsidR="004019BF" w:rsidRPr="008270B7" w:rsidSect="004019BF">
          <w:headerReference w:type="default" r:id="rId101"/>
          <w:footerReference w:type="even" r:id="rId102"/>
          <w:footerReference w:type="default" r:id="rId103"/>
          <w:headerReference w:type="first" r:id="rId104"/>
          <w:footerReference w:type="first" r:id="rId105"/>
          <w:pgSz w:w="12240" w:h="18720" w:code="257"/>
          <w:pgMar w:top="1417" w:right="1701" w:bottom="993" w:left="1701" w:header="709" w:footer="517" w:gutter="0"/>
          <w:pgNumType w:start="33"/>
          <w:cols w:space="708"/>
          <w:docGrid w:linePitch="360"/>
        </w:sectPr>
      </w:pPr>
    </w:p>
    <w:p w14:paraId="11D54554" w14:textId="77777777" w:rsidR="00CF17D5" w:rsidRPr="008270B7" w:rsidRDefault="00CF17D5" w:rsidP="008270B7">
      <w:pPr>
        <w:jc w:val="both"/>
        <w:rPr>
          <w:rFonts w:cs="Arial"/>
          <w:sz w:val="16"/>
          <w:szCs w:val="16"/>
        </w:rPr>
      </w:pPr>
      <w:r w:rsidRPr="008270B7">
        <w:rPr>
          <w:rFonts w:cs="Arial"/>
          <w:sz w:val="16"/>
          <w:szCs w:val="16"/>
        </w:rPr>
        <w:lastRenderedPageBreak/>
        <w:t xml:space="preserve">7. INSTRUCCIONES RELATIVAS A LA IDONEIDAD DE PERSONAS NATURALES QUE EJERCEN LA INTERMEDIACIÓN DE SEGUROS </w:t>
      </w:r>
    </w:p>
    <w:p w14:paraId="3DD1572C" w14:textId="77777777" w:rsidR="00CF17D5" w:rsidRPr="008270B7" w:rsidRDefault="00CF17D5" w:rsidP="008270B7">
      <w:pPr>
        <w:jc w:val="both"/>
        <w:rPr>
          <w:rFonts w:cs="Arial"/>
          <w:sz w:val="16"/>
          <w:szCs w:val="16"/>
        </w:rPr>
      </w:pPr>
    </w:p>
    <w:p w14:paraId="2309FA8B" w14:textId="77777777" w:rsidR="00CF17D5" w:rsidRPr="008270B7" w:rsidRDefault="00CF17D5" w:rsidP="008270B7">
      <w:pPr>
        <w:jc w:val="both"/>
        <w:rPr>
          <w:rFonts w:cs="Arial"/>
          <w:sz w:val="16"/>
          <w:szCs w:val="16"/>
        </w:rPr>
      </w:pPr>
      <w:r w:rsidRPr="008270B7">
        <w:rPr>
          <w:rFonts w:cs="Arial"/>
          <w:sz w:val="16"/>
          <w:szCs w:val="16"/>
        </w:rPr>
        <w:t>7.1. Ámbito de aplicación</w:t>
      </w:r>
    </w:p>
    <w:p w14:paraId="50DD6BE1" w14:textId="77777777" w:rsidR="00CF17D5" w:rsidRPr="008270B7" w:rsidRDefault="00CF17D5" w:rsidP="008270B7">
      <w:pPr>
        <w:jc w:val="both"/>
        <w:rPr>
          <w:rFonts w:cs="Arial"/>
          <w:sz w:val="16"/>
          <w:szCs w:val="16"/>
        </w:rPr>
      </w:pPr>
    </w:p>
    <w:p w14:paraId="59807838" w14:textId="77777777" w:rsidR="00CF17D5" w:rsidRPr="008270B7" w:rsidRDefault="00CF17D5" w:rsidP="008270B7">
      <w:pPr>
        <w:jc w:val="both"/>
        <w:rPr>
          <w:rFonts w:cs="Arial"/>
          <w:sz w:val="16"/>
          <w:szCs w:val="16"/>
          <w:lang w:val="es-ES_tradnl"/>
        </w:rPr>
      </w:pPr>
      <w:r w:rsidRPr="008270B7">
        <w:rPr>
          <w:rFonts w:cs="Arial"/>
          <w:sz w:val="16"/>
          <w:szCs w:val="16"/>
        </w:rPr>
        <w:t>De conformidad con el artículo 101 de la Ley 510 de 1999, las entidades aseguradoras deben velar por que las agencias de seguros y los agentes de seguros, cumplan con los requisitos de</w:t>
      </w:r>
      <w:r w:rsidRPr="008270B7">
        <w:rPr>
          <w:rFonts w:cs="Arial"/>
          <w:sz w:val="16"/>
          <w:szCs w:val="16"/>
          <w:lang w:val="es-ES_tradnl"/>
        </w:rPr>
        <w:t xml:space="preserve"> idoneidad para el ejercicio de sus funciones. Para tal efecto, las personas naturales que ejerzan la intermediación de seguros, ya sea en calidad de empleado, agente, o como persona vinculada a un agente o a una agencia de seguros, están sujetos a las disposiciones contenidas en el presente numeral.</w:t>
      </w:r>
    </w:p>
    <w:p w14:paraId="3090E23F" w14:textId="77777777" w:rsidR="00CF17D5" w:rsidRPr="008270B7" w:rsidRDefault="00CF17D5" w:rsidP="008270B7">
      <w:pPr>
        <w:jc w:val="both"/>
        <w:rPr>
          <w:rFonts w:cs="Arial"/>
          <w:sz w:val="16"/>
          <w:szCs w:val="16"/>
          <w:lang w:val="es-ES_tradnl"/>
        </w:rPr>
      </w:pPr>
    </w:p>
    <w:p w14:paraId="414465ED" w14:textId="77777777" w:rsidR="00CF17D5" w:rsidRPr="008270B7" w:rsidRDefault="00CF17D5" w:rsidP="008270B7">
      <w:pPr>
        <w:jc w:val="both"/>
        <w:rPr>
          <w:rFonts w:cs="Arial"/>
          <w:sz w:val="16"/>
          <w:szCs w:val="16"/>
          <w:lang w:val="es-ES_tradnl"/>
        </w:rPr>
      </w:pPr>
      <w:r w:rsidRPr="008270B7">
        <w:rPr>
          <w:rFonts w:cs="Arial"/>
          <w:sz w:val="16"/>
          <w:szCs w:val="16"/>
          <w:lang w:val="es-ES_tradnl"/>
        </w:rPr>
        <w:t>Para los efectos del presente numeral, se entiende como Persona Natural Vinculada cualquier persona natural que reúna los siguientes criterios:</w:t>
      </w:r>
    </w:p>
    <w:p w14:paraId="7807032B" w14:textId="77777777" w:rsidR="00CF17D5" w:rsidRPr="008270B7" w:rsidRDefault="00CF17D5" w:rsidP="008270B7">
      <w:pPr>
        <w:jc w:val="both"/>
        <w:rPr>
          <w:rFonts w:cs="Arial"/>
          <w:sz w:val="16"/>
          <w:szCs w:val="16"/>
          <w:lang w:val="es-ES_tradnl"/>
        </w:rPr>
      </w:pPr>
    </w:p>
    <w:p w14:paraId="4011932A" w14:textId="77777777" w:rsidR="008D0976" w:rsidRPr="008270B7" w:rsidRDefault="008D0976" w:rsidP="008270B7">
      <w:pPr>
        <w:pStyle w:val="Prrafodelista"/>
        <w:tabs>
          <w:tab w:val="left" w:pos="709"/>
        </w:tabs>
        <w:ind w:left="0"/>
        <w:jc w:val="both"/>
        <w:rPr>
          <w:rFonts w:cs="Arial"/>
          <w:sz w:val="16"/>
          <w:szCs w:val="16"/>
        </w:rPr>
      </w:pPr>
      <w:r w:rsidRPr="008270B7">
        <w:rPr>
          <w:rFonts w:cs="Arial"/>
          <w:sz w:val="16"/>
          <w:szCs w:val="16"/>
          <w:lang w:val="es-ES_tradnl"/>
        </w:rPr>
        <w:t xml:space="preserve">7.1.1.  </w:t>
      </w:r>
      <w:r w:rsidR="00CF17D5" w:rsidRPr="008270B7">
        <w:rPr>
          <w:rFonts w:cs="Arial"/>
          <w:sz w:val="16"/>
          <w:szCs w:val="16"/>
          <w:lang w:val="es-ES_tradnl"/>
        </w:rPr>
        <w:t>Que tenga cualquier tipo de relación contractual (comercial, laboral, o de cualquier otra naturaleza) con una entidad aseguradora, con una agencia de seguros o con un agente de seguros; y</w:t>
      </w:r>
    </w:p>
    <w:p w14:paraId="7D47868C" w14:textId="77777777" w:rsidR="00CF17D5" w:rsidRPr="008270B7" w:rsidRDefault="008D0976" w:rsidP="008270B7">
      <w:pPr>
        <w:pStyle w:val="Prrafodelista"/>
        <w:tabs>
          <w:tab w:val="left" w:pos="709"/>
        </w:tabs>
        <w:ind w:left="0"/>
        <w:jc w:val="both"/>
        <w:rPr>
          <w:rFonts w:cs="Arial"/>
          <w:sz w:val="16"/>
          <w:szCs w:val="16"/>
        </w:rPr>
      </w:pPr>
      <w:r w:rsidRPr="008270B7">
        <w:rPr>
          <w:rFonts w:cs="Arial"/>
          <w:sz w:val="16"/>
          <w:szCs w:val="16"/>
        </w:rPr>
        <w:t xml:space="preserve">7.1.2.  </w:t>
      </w:r>
      <w:r w:rsidR="00CF17D5" w:rsidRPr="008270B7">
        <w:rPr>
          <w:rFonts w:cs="Arial"/>
          <w:sz w:val="16"/>
          <w:szCs w:val="16"/>
        </w:rPr>
        <w:t>Que ejerza la colocación de seguros, entendida como el conjunto de actividades de asesoría y acompañamiento en la adquisición de productos de seguros</w:t>
      </w:r>
      <w:r w:rsidR="00CF17D5" w:rsidRPr="008270B7">
        <w:rPr>
          <w:rFonts w:cs="Arial"/>
          <w:sz w:val="16"/>
          <w:szCs w:val="16"/>
          <w:lang w:val="es-ES_tradnl"/>
        </w:rPr>
        <w:t>.</w:t>
      </w:r>
    </w:p>
    <w:p w14:paraId="3C01B653" w14:textId="77777777" w:rsidR="00622816" w:rsidRPr="008270B7" w:rsidRDefault="00622816" w:rsidP="008270B7">
      <w:pPr>
        <w:jc w:val="both"/>
        <w:rPr>
          <w:rFonts w:cs="Arial"/>
          <w:sz w:val="16"/>
          <w:szCs w:val="16"/>
        </w:rPr>
      </w:pPr>
    </w:p>
    <w:p w14:paraId="28BC6598" w14:textId="77777777" w:rsidR="00CF17D5" w:rsidRPr="008270B7" w:rsidRDefault="00CF17D5" w:rsidP="008270B7">
      <w:pPr>
        <w:jc w:val="both"/>
        <w:rPr>
          <w:rFonts w:cs="Arial"/>
          <w:sz w:val="16"/>
          <w:szCs w:val="16"/>
          <w:lang w:val="es-CO" w:eastAsia="es-ES"/>
        </w:rPr>
      </w:pPr>
      <w:r w:rsidRPr="008270B7">
        <w:rPr>
          <w:rFonts w:cs="Arial"/>
          <w:sz w:val="16"/>
          <w:szCs w:val="16"/>
          <w:lang w:val="es-CO" w:eastAsia="es-ES"/>
        </w:rPr>
        <w:t xml:space="preserve">Las instrucciones impartidas en el numeral 7 de este capítulo no son aplicables a los intermediarios que comercialicen exclusivamente seguros del ramo de riesgos laborales, quienes deben atenerse a lo establecido en el Decreto 1637 de 2013 o las normas que lo modifiquen. No </w:t>
      </w:r>
      <w:proofErr w:type="gramStart"/>
      <w:r w:rsidRPr="008270B7">
        <w:rPr>
          <w:rFonts w:cs="Arial"/>
          <w:sz w:val="16"/>
          <w:szCs w:val="16"/>
          <w:lang w:val="es-CO" w:eastAsia="es-ES"/>
        </w:rPr>
        <w:t>obstante</w:t>
      </w:r>
      <w:proofErr w:type="gramEnd"/>
      <w:r w:rsidRPr="008270B7">
        <w:rPr>
          <w:rFonts w:cs="Arial"/>
          <w:sz w:val="16"/>
          <w:szCs w:val="16"/>
          <w:lang w:val="es-CO" w:eastAsia="es-ES"/>
        </w:rPr>
        <w:t xml:space="preserve"> lo anterior, cuando un intermediario de seguros de riesgos laborales comercialice cualquier otro ramo, debe cumplir con lo establecido en la presente norma.</w:t>
      </w:r>
    </w:p>
    <w:p w14:paraId="5E925115" w14:textId="77777777" w:rsidR="00CF17D5" w:rsidRPr="008270B7" w:rsidRDefault="00CF17D5" w:rsidP="008270B7">
      <w:pPr>
        <w:jc w:val="both"/>
        <w:rPr>
          <w:rFonts w:cs="Arial"/>
          <w:sz w:val="16"/>
          <w:szCs w:val="16"/>
          <w:lang w:val="es-CO"/>
        </w:rPr>
      </w:pPr>
    </w:p>
    <w:p w14:paraId="2E3D7CCE" w14:textId="77777777" w:rsidR="00CF17D5" w:rsidRPr="008270B7" w:rsidRDefault="00CF17D5" w:rsidP="008270B7">
      <w:pPr>
        <w:jc w:val="both"/>
        <w:rPr>
          <w:rFonts w:cs="Arial"/>
          <w:sz w:val="16"/>
          <w:szCs w:val="16"/>
        </w:rPr>
      </w:pPr>
      <w:r w:rsidRPr="008270B7">
        <w:rPr>
          <w:rFonts w:cs="Arial"/>
          <w:sz w:val="16"/>
          <w:szCs w:val="16"/>
        </w:rPr>
        <w:t xml:space="preserve">7.2. Acreditación de idoneidad </w:t>
      </w:r>
    </w:p>
    <w:p w14:paraId="07E9AD14" w14:textId="77777777" w:rsidR="00CF17D5" w:rsidRPr="008270B7" w:rsidRDefault="00CF17D5" w:rsidP="008270B7">
      <w:pPr>
        <w:jc w:val="both"/>
        <w:rPr>
          <w:rFonts w:cs="Arial"/>
          <w:sz w:val="16"/>
          <w:szCs w:val="16"/>
        </w:rPr>
      </w:pPr>
    </w:p>
    <w:p w14:paraId="2AA17B42" w14:textId="77777777" w:rsidR="00CF17D5" w:rsidRPr="008270B7" w:rsidRDefault="00CF17D5" w:rsidP="008270B7">
      <w:pPr>
        <w:jc w:val="both"/>
        <w:rPr>
          <w:rFonts w:cs="Arial"/>
          <w:sz w:val="16"/>
          <w:szCs w:val="16"/>
          <w:lang w:val="es-MX"/>
        </w:rPr>
      </w:pPr>
      <w:r w:rsidRPr="008270B7">
        <w:rPr>
          <w:rFonts w:cs="Arial"/>
          <w:iCs/>
          <w:sz w:val="16"/>
          <w:szCs w:val="16"/>
          <w:lang w:val="es-CO"/>
        </w:rPr>
        <w:t>Las entidades aseguradoras deben velar porque las Personas Naturales Vinculadas, cuenten con capacidad técnica y capacidad profesional, que acrediten su idoneidad, conforme a lo establecido en este capítulo.</w:t>
      </w:r>
    </w:p>
    <w:p w14:paraId="10026626" w14:textId="77777777" w:rsidR="00CF17D5" w:rsidRPr="008270B7" w:rsidRDefault="00CF17D5" w:rsidP="008270B7">
      <w:pPr>
        <w:jc w:val="both"/>
        <w:rPr>
          <w:rFonts w:cs="Arial"/>
          <w:sz w:val="16"/>
          <w:szCs w:val="16"/>
          <w:lang w:val="es-MX"/>
        </w:rPr>
      </w:pPr>
    </w:p>
    <w:p w14:paraId="47158B1C"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 Capacidad técnica</w:t>
      </w:r>
    </w:p>
    <w:p w14:paraId="208679B4" w14:textId="77777777" w:rsidR="00CF17D5" w:rsidRPr="008270B7" w:rsidRDefault="00CF17D5" w:rsidP="008270B7">
      <w:pPr>
        <w:jc w:val="both"/>
        <w:rPr>
          <w:rFonts w:cs="Arial"/>
          <w:sz w:val="16"/>
          <w:szCs w:val="16"/>
          <w:lang w:val="es-ES_tradnl"/>
        </w:rPr>
      </w:pPr>
    </w:p>
    <w:p w14:paraId="61F7C1A2"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Las entidades aseguradoras deben cerciorarse de que </w:t>
      </w:r>
      <w:r w:rsidRPr="008270B7">
        <w:rPr>
          <w:rFonts w:cs="Arial"/>
          <w:sz w:val="16"/>
          <w:szCs w:val="16"/>
        </w:rPr>
        <w:t>las Personas Naturales Vinculadas</w:t>
      </w:r>
      <w:r w:rsidRPr="008270B7">
        <w:rPr>
          <w:rFonts w:cs="Arial"/>
          <w:sz w:val="16"/>
          <w:szCs w:val="16"/>
          <w:lang w:val="es-ES_tradnl"/>
        </w:rPr>
        <w:t xml:space="preserve"> cuenten con los conocimientos mínimos necesarios para la intermediación en los ramos autorizados a éstas y que dichos conocimientos se actualicen de manera periódica. </w:t>
      </w:r>
    </w:p>
    <w:p w14:paraId="78CC5C7C" w14:textId="77777777" w:rsidR="00CF17D5" w:rsidRPr="008270B7" w:rsidRDefault="00CF17D5" w:rsidP="008270B7">
      <w:pPr>
        <w:jc w:val="both"/>
        <w:rPr>
          <w:rFonts w:cs="Arial"/>
          <w:sz w:val="16"/>
          <w:szCs w:val="16"/>
          <w:lang w:val="es-ES_tradnl"/>
        </w:rPr>
      </w:pPr>
    </w:p>
    <w:p w14:paraId="5304EBD2" w14:textId="77777777" w:rsidR="00CF17D5" w:rsidRPr="008270B7" w:rsidRDefault="00CF17D5" w:rsidP="008270B7">
      <w:pPr>
        <w:jc w:val="both"/>
        <w:rPr>
          <w:rFonts w:cs="Arial"/>
          <w:sz w:val="16"/>
          <w:szCs w:val="16"/>
          <w:lang w:val="es-ES_tradnl"/>
        </w:rPr>
      </w:pPr>
      <w:r w:rsidRPr="008270B7">
        <w:rPr>
          <w:rFonts w:cs="Arial"/>
          <w:sz w:val="16"/>
          <w:szCs w:val="16"/>
          <w:lang w:val="es-ES_tradnl"/>
        </w:rPr>
        <w:t>En línea con lo anterior, las Personas Naturales Vinculadas deben demostrar ante la entidad aseguradora, que cuentan con capacidad técnica, a través de (i) la realización de un curso de formación y la aprobación de exámenes de conocimiento, que desarrollen y evalúen como mínimo el contenido previsto en el subnumeral 7.2.1.1 de este capítulo o (ii) la acreditación de experiencia.</w:t>
      </w:r>
    </w:p>
    <w:p w14:paraId="7ED7AAFB" w14:textId="77777777" w:rsidR="00CF17D5" w:rsidRPr="008270B7" w:rsidRDefault="00CF17D5" w:rsidP="008270B7">
      <w:pPr>
        <w:jc w:val="both"/>
        <w:rPr>
          <w:rFonts w:cs="Arial"/>
          <w:sz w:val="16"/>
          <w:szCs w:val="16"/>
          <w:lang w:val="es-ES_tradnl"/>
        </w:rPr>
      </w:pPr>
    </w:p>
    <w:p w14:paraId="32C75B44" w14:textId="77777777" w:rsidR="00CF17D5" w:rsidRPr="008270B7" w:rsidRDefault="00CF17D5" w:rsidP="008270B7">
      <w:pPr>
        <w:widowControl w:val="0"/>
        <w:jc w:val="both"/>
        <w:rPr>
          <w:rFonts w:cs="Arial"/>
          <w:sz w:val="16"/>
          <w:szCs w:val="16"/>
          <w:lang w:val="es-ES_tradnl"/>
        </w:rPr>
      </w:pPr>
      <w:r w:rsidRPr="008270B7">
        <w:rPr>
          <w:rFonts w:cs="Arial"/>
          <w:sz w:val="16"/>
          <w:szCs w:val="16"/>
          <w:lang w:val="es-ES_tradnl"/>
        </w:rPr>
        <w:t>Para efectos de la acreditación de experiencia, e</w:t>
      </w:r>
      <w:r w:rsidRPr="008270B7">
        <w:rPr>
          <w:rFonts w:cs="Arial"/>
          <w:sz w:val="16"/>
          <w:szCs w:val="16"/>
        </w:rPr>
        <w:t xml:space="preserve">n línea con lo establecido en el artículo 2.30.1.1.3 del Decreto 2555 de 2010, aquellas personas que durante al menos dos (2) años hayan (i) desempeñado funciones de dirección o administración en entidades del sector asegurador; (ii) prestado asesorías durante el mismo término en el sector asegurador, relacionadas con la intermediación de seguros; o (iii) desempeñado funciones relacionadas con el objeto social de las entidades aseguradoras, pueden hacer valer dicha experiencia para efectos de la acreditación de su capacidad técnica. Dicha experiencia debe ser demostrada y documentada por la Persona Natural Vinculada y comprobada por la entidad aseguradora, según los criterios que para tal efecto ésta defina. No </w:t>
      </w:r>
      <w:proofErr w:type="gramStart"/>
      <w:r w:rsidRPr="008270B7">
        <w:rPr>
          <w:rFonts w:cs="Arial"/>
          <w:sz w:val="16"/>
          <w:szCs w:val="16"/>
        </w:rPr>
        <w:t>obstante</w:t>
      </w:r>
      <w:proofErr w:type="gramEnd"/>
      <w:r w:rsidRPr="008270B7">
        <w:rPr>
          <w:rFonts w:cs="Arial"/>
          <w:sz w:val="16"/>
          <w:szCs w:val="16"/>
        </w:rPr>
        <w:t xml:space="preserve"> lo anterior, estas personas estarán sujetas al deber de efectuar un curso de actualización, de acuerdo con lo establecido en el subnumeral 7.2.1.4 del presente Capítulo.</w:t>
      </w:r>
    </w:p>
    <w:p w14:paraId="250511C0"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 </w:t>
      </w:r>
    </w:p>
    <w:p w14:paraId="4E86C89E"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7.2.1.1. Características del curso de formación </w:t>
      </w:r>
    </w:p>
    <w:p w14:paraId="23CB3562" w14:textId="77777777" w:rsidR="00CF17D5" w:rsidRPr="008270B7" w:rsidRDefault="00CF17D5" w:rsidP="008270B7">
      <w:pPr>
        <w:jc w:val="both"/>
        <w:rPr>
          <w:rFonts w:cs="Arial"/>
          <w:sz w:val="16"/>
          <w:szCs w:val="16"/>
          <w:lang w:val="es-ES_tradnl"/>
        </w:rPr>
      </w:pPr>
    </w:p>
    <w:p w14:paraId="45CBBE3A"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El curso debe cubrir, como mínimo, los siguientes temas: </w:t>
      </w:r>
    </w:p>
    <w:p w14:paraId="344D97CE" w14:textId="77777777" w:rsidR="00CF17D5" w:rsidRPr="008270B7" w:rsidRDefault="00CF17D5" w:rsidP="008270B7">
      <w:pPr>
        <w:jc w:val="both"/>
        <w:rPr>
          <w:rFonts w:cs="Arial"/>
          <w:sz w:val="16"/>
          <w:szCs w:val="16"/>
          <w:lang w:val="es-ES_tradnl"/>
        </w:rPr>
      </w:pPr>
    </w:p>
    <w:p w14:paraId="1FC5806C"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7.2.1.1.1. Aspectos básicos del contrato de seguros;</w:t>
      </w:r>
    </w:p>
    <w:p w14:paraId="76DC66C1"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7.2.1.1.2. Régimen aplicable a los ramos de seguros;</w:t>
      </w:r>
    </w:p>
    <w:p w14:paraId="005EEACF"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7.2.1.1.3. Aspectos básicos de administración de riesgos;</w:t>
      </w:r>
    </w:p>
    <w:p w14:paraId="5462C1DE"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7.2.1.1.4. Aspectos de SARLAFT, relacionados con la intermediación de seguros;</w:t>
      </w:r>
    </w:p>
    <w:p w14:paraId="6BB4441A"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7.2.1.1.5. Aspectos relevantes de protección al consumidor financiero y atención al cliente. </w:t>
      </w:r>
    </w:p>
    <w:p w14:paraId="7DA59B98" w14:textId="77777777" w:rsidR="00CF17D5" w:rsidRPr="008270B7" w:rsidRDefault="00CF17D5" w:rsidP="008270B7">
      <w:pPr>
        <w:jc w:val="both"/>
        <w:rPr>
          <w:rFonts w:cs="Arial"/>
          <w:sz w:val="16"/>
          <w:szCs w:val="16"/>
          <w:lang w:val="es-ES_tradnl"/>
        </w:rPr>
      </w:pPr>
    </w:p>
    <w:p w14:paraId="554F03B0"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Las Personas Naturales Vinculadas deben aprobar exámenes de conocimiento de los contenidos mencionados. </w:t>
      </w:r>
    </w:p>
    <w:p w14:paraId="534D5F50" w14:textId="77777777" w:rsidR="00CF17D5" w:rsidRPr="008270B7" w:rsidRDefault="00CF17D5" w:rsidP="008270B7">
      <w:pPr>
        <w:jc w:val="both"/>
        <w:rPr>
          <w:rFonts w:cs="Arial"/>
          <w:sz w:val="16"/>
          <w:szCs w:val="16"/>
          <w:lang w:val="es-ES_tradnl"/>
        </w:rPr>
      </w:pPr>
    </w:p>
    <w:p w14:paraId="5A4E5AE0"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7.2.1.2. Organismos Autorizados</w:t>
      </w:r>
    </w:p>
    <w:p w14:paraId="0B0122EA" w14:textId="77777777" w:rsidR="00CF17D5" w:rsidRPr="008270B7" w:rsidRDefault="00CF17D5" w:rsidP="008270B7">
      <w:pPr>
        <w:jc w:val="both"/>
        <w:rPr>
          <w:rFonts w:cs="Arial"/>
          <w:sz w:val="16"/>
          <w:szCs w:val="16"/>
          <w:lang w:val="es-ES_tradnl"/>
        </w:rPr>
      </w:pPr>
    </w:p>
    <w:p w14:paraId="45A50ED3"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Para ser susceptibles de acreditar la capacidad técnica, el curso de formación y los exámenes de conocimiento a los que se refiere el subnumeral anterior, pueden realizarse en las siguientes entidades, consideradas Organismos Autorizados: </w:t>
      </w:r>
    </w:p>
    <w:p w14:paraId="683687BF" w14:textId="77777777" w:rsidR="00CF17D5" w:rsidRPr="008270B7" w:rsidRDefault="00CF17D5" w:rsidP="008270B7">
      <w:pPr>
        <w:jc w:val="both"/>
        <w:rPr>
          <w:rFonts w:cs="Arial"/>
          <w:sz w:val="16"/>
          <w:szCs w:val="16"/>
          <w:lang w:val="es-ES_tradnl"/>
        </w:rPr>
      </w:pPr>
    </w:p>
    <w:p w14:paraId="0F029517"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7.2.1.2.1. Instituciones de educación superior reconocidas por el Ministerio de Educación Nacional y el Servicio Nacional de Aprendizaje (SENA).</w:t>
      </w:r>
    </w:p>
    <w:p w14:paraId="711E39A4" w14:textId="77777777" w:rsidR="00CF17D5" w:rsidRPr="008270B7" w:rsidRDefault="00CF17D5" w:rsidP="008270B7">
      <w:pPr>
        <w:jc w:val="both"/>
        <w:rPr>
          <w:rFonts w:cs="Arial"/>
          <w:sz w:val="16"/>
          <w:szCs w:val="16"/>
          <w:lang w:val="es-ES_tradnl"/>
        </w:rPr>
      </w:pPr>
    </w:p>
    <w:p w14:paraId="2F9641D0"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7.2.1.2.2. Entidades aseguradoras o corredores de seguros que cuenten con un área de formación en esta materia, que implementen cursos de formación a intermediarios de seguros.</w:t>
      </w:r>
    </w:p>
    <w:p w14:paraId="32679E82" w14:textId="77777777" w:rsidR="00CF17D5" w:rsidRPr="008270B7" w:rsidRDefault="00CF17D5" w:rsidP="008270B7">
      <w:pPr>
        <w:jc w:val="both"/>
        <w:rPr>
          <w:rFonts w:cs="Arial"/>
          <w:sz w:val="16"/>
          <w:szCs w:val="16"/>
          <w:lang w:val="es-ES_tradnl"/>
        </w:rPr>
      </w:pPr>
    </w:p>
    <w:p w14:paraId="4C38A1D0"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7.2.1.2.3. Asociaciones, federaciones, organismos de autorregulación y demás formas asociativas gremiales o sus organismos educativos adscritos, que implementen cursos de formación a intermediarios de seguros. </w:t>
      </w:r>
    </w:p>
    <w:p w14:paraId="33A4986E" w14:textId="77777777" w:rsidR="00CF17D5" w:rsidRPr="008270B7" w:rsidRDefault="00CF17D5" w:rsidP="008270B7">
      <w:pPr>
        <w:jc w:val="both"/>
        <w:rPr>
          <w:rFonts w:cs="Arial"/>
          <w:sz w:val="16"/>
          <w:szCs w:val="16"/>
          <w:lang w:val="es-ES_tradnl"/>
        </w:rPr>
      </w:pPr>
    </w:p>
    <w:p w14:paraId="4C789511" w14:textId="77777777" w:rsidR="00CF17D5" w:rsidRPr="008270B7" w:rsidRDefault="00CF17D5" w:rsidP="008270B7">
      <w:pPr>
        <w:jc w:val="both"/>
        <w:rPr>
          <w:rFonts w:cs="Arial"/>
          <w:sz w:val="16"/>
          <w:szCs w:val="16"/>
          <w:lang w:val="es-MX"/>
        </w:rPr>
      </w:pPr>
      <w:r w:rsidRPr="008270B7">
        <w:rPr>
          <w:rFonts w:cs="Arial"/>
          <w:sz w:val="16"/>
          <w:szCs w:val="16"/>
          <w:lang w:val="es-ES_tradnl"/>
        </w:rPr>
        <w:t>L</w:t>
      </w:r>
      <w:r w:rsidRPr="008270B7">
        <w:rPr>
          <w:rFonts w:cs="Arial"/>
          <w:sz w:val="16"/>
          <w:szCs w:val="16"/>
          <w:lang w:val="es-MX"/>
        </w:rPr>
        <w:t>as personas que se desempeñen como instructores del curso de formación deben al menos: (i) ser profesionales universitarios o técnicos; (ii) tener experiencia profesional específica mínima de 3 años en instituciones del sector de seguros o reaseguros y (iii) tener experiencia profesional o académica en las áreas relacionadas con los temas que comprende el curso dictado.</w:t>
      </w:r>
    </w:p>
    <w:p w14:paraId="48FB969A" w14:textId="77777777" w:rsidR="00026038" w:rsidRPr="008270B7" w:rsidRDefault="00026038" w:rsidP="008270B7">
      <w:pPr>
        <w:jc w:val="both"/>
        <w:rPr>
          <w:rFonts w:cs="Arial"/>
          <w:sz w:val="16"/>
          <w:szCs w:val="16"/>
          <w:lang w:val="es-MX"/>
        </w:rPr>
      </w:pPr>
    </w:p>
    <w:p w14:paraId="76CD5B39" w14:textId="77777777" w:rsidR="008D0976" w:rsidRPr="008270B7" w:rsidRDefault="008D0976" w:rsidP="008270B7">
      <w:pPr>
        <w:jc w:val="both"/>
        <w:rPr>
          <w:rFonts w:cs="Arial"/>
          <w:sz w:val="16"/>
          <w:szCs w:val="16"/>
          <w:lang w:val="es-MX"/>
        </w:rPr>
      </w:pPr>
    </w:p>
    <w:p w14:paraId="3F318C46" w14:textId="77777777" w:rsidR="008D0976" w:rsidRPr="008270B7" w:rsidRDefault="008D0976" w:rsidP="008270B7">
      <w:pPr>
        <w:jc w:val="both"/>
        <w:rPr>
          <w:rFonts w:cs="Arial"/>
          <w:sz w:val="16"/>
          <w:szCs w:val="16"/>
          <w:lang w:val="es-MX"/>
        </w:rPr>
      </w:pPr>
    </w:p>
    <w:p w14:paraId="6ADF28ED" w14:textId="77777777" w:rsidR="008D0976" w:rsidRPr="008270B7" w:rsidRDefault="008D0976" w:rsidP="008270B7">
      <w:pPr>
        <w:jc w:val="both"/>
        <w:rPr>
          <w:rFonts w:cs="Arial"/>
          <w:sz w:val="16"/>
          <w:szCs w:val="16"/>
          <w:lang w:val="es-MX"/>
        </w:rPr>
      </w:pPr>
    </w:p>
    <w:p w14:paraId="0E320197" w14:textId="77777777" w:rsidR="008D0976" w:rsidRPr="008270B7" w:rsidRDefault="008D0976" w:rsidP="008270B7">
      <w:pPr>
        <w:jc w:val="both"/>
        <w:rPr>
          <w:rFonts w:cs="Arial"/>
          <w:sz w:val="16"/>
          <w:szCs w:val="16"/>
          <w:lang w:val="es-MX"/>
        </w:rPr>
      </w:pPr>
    </w:p>
    <w:p w14:paraId="2F73AA24" w14:textId="77777777" w:rsidR="008D0976" w:rsidRPr="008270B7" w:rsidRDefault="008D0976" w:rsidP="008270B7">
      <w:pPr>
        <w:jc w:val="both"/>
        <w:rPr>
          <w:rFonts w:cs="Arial"/>
          <w:sz w:val="16"/>
          <w:szCs w:val="16"/>
          <w:lang w:val="es-MX"/>
        </w:rPr>
      </w:pPr>
    </w:p>
    <w:p w14:paraId="0352E7F8" w14:textId="77777777" w:rsidR="00CF17D5" w:rsidRPr="008270B7" w:rsidRDefault="00CF17D5" w:rsidP="008270B7">
      <w:pPr>
        <w:jc w:val="both"/>
        <w:rPr>
          <w:rFonts w:cs="Arial"/>
          <w:sz w:val="16"/>
          <w:szCs w:val="16"/>
          <w:lang w:val="es-ES_tradnl"/>
        </w:rPr>
      </w:pPr>
      <w:r w:rsidRPr="008270B7">
        <w:rPr>
          <w:rFonts w:cs="Arial"/>
          <w:sz w:val="16"/>
          <w:szCs w:val="16"/>
          <w:lang w:val="es-ES_tradnl"/>
        </w:rPr>
        <w:lastRenderedPageBreak/>
        <w:t>7.2.1.3. Homologación</w:t>
      </w:r>
    </w:p>
    <w:p w14:paraId="1E99D41C" w14:textId="77777777" w:rsidR="00CF17D5" w:rsidRPr="008270B7" w:rsidRDefault="00CF17D5" w:rsidP="008270B7">
      <w:pPr>
        <w:jc w:val="both"/>
        <w:rPr>
          <w:rFonts w:cs="Arial"/>
          <w:sz w:val="16"/>
          <w:szCs w:val="16"/>
          <w:lang w:val="es-ES_tradnl"/>
        </w:rPr>
      </w:pPr>
    </w:p>
    <w:p w14:paraId="0E6B06CD" w14:textId="77777777" w:rsidR="00CF17D5" w:rsidRPr="008270B7" w:rsidRDefault="00CF17D5" w:rsidP="008270B7">
      <w:pPr>
        <w:jc w:val="both"/>
        <w:rPr>
          <w:rFonts w:cs="Arial"/>
          <w:sz w:val="16"/>
          <w:szCs w:val="16"/>
        </w:rPr>
      </w:pPr>
      <w:r w:rsidRPr="008270B7">
        <w:rPr>
          <w:rFonts w:cs="Arial"/>
          <w:sz w:val="16"/>
          <w:szCs w:val="16"/>
          <w:lang w:val="es-ES_tradnl"/>
        </w:rPr>
        <w:t xml:space="preserve">La acreditación de capacidad técnica emitida por cualquiera de los Organismos Autorizados es válida para ejercer como intermediario de seguros de cualquier entidad aseguradora o intermediario de seguros siempre y cuando esté dentro de los términos establecidos en el subnumeral 7.2.1.4 del presente Capítulo. No </w:t>
      </w:r>
      <w:proofErr w:type="gramStart"/>
      <w:r w:rsidRPr="008270B7">
        <w:rPr>
          <w:rFonts w:cs="Arial"/>
          <w:sz w:val="16"/>
          <w:szCs w:val="16"/>
          <w:lang w:val="es-ES_tradnl"/>
        </w:rPr>
        <w:t>obstante</w:t>
      </w:r>
      <w:proofErr w:type="gramEnd"/>
      <w:r w:rsidRPr="008270B7">
        <w:rPr>
          <w:rFonts w:cs="Arial"/>
          <w:sz w:val="16"/>
          <w:szCs w:val="16"/>
          <w:lang w:val="es-ES_tradnl"/>
        </w:rPr>
        <w:t xml:space="preserve"> lo anterior, las entidades aseguradoras (i) deben capacitar a las Personas Naturales Vinculadas</w:t>
      </w:r>
      <w:r w:rsidRPr="008270B7">
        <w:rPr>
          <w:rFonts w:cs="Arial"/>
          <w:sz w:val="16"/>
          <w:szCs w:val="16"/>
        </w:rPr>
        <w:t>, respecto de los productos específicos ofrecidos por cada entidad aseguradora y (ii) pueden establecer requisitos adicionales para la autorización de intermediarios de seguros.</w:t>
      </w:r>
    </w:p>
    <w:p w14:paraId="3AF09BAC" w14:textId="77777777" w:rsidR="00CF17D5" w:rsidRPr="008270B7" w:rsidRDefault="00CF17D5" w:rsidP="008270B7">
      <w:pPr>
        <w:jc w:val="both"/>
        <w:rPr>
          <w:rFonts w:cs="Arial"/>
          <w:sz w:val="16"/>
          <w:szCs w:val="16"/>
          <w:lang w:val="es-ES_tradnl"/>
        </w:rPr>
      </w:pPr>
    </w:p>
    <w:p w14:paraId="3B90EDFA"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7.2.1.4. Vigencia y actualización de la capacidad técnica</w:t>
      </w:r>
    </w:p>
    <w:p w14:paraId="42065727" w14:textId="77777777" w:rsidR="00CF17D5" w:rsidRPr="008270B7" w:rsidRDefault="00CF17D5" w:rsidP="008270B7">
      <w:pPr>
        <w:jc w:val="both"/>
        <w:rPr>
          <w:rFonts w:cs="Arial"/>
          <w:sz w:val="16"/>
          <w:szCs w:val="16"/>
          <w:lang w:val="es-ES_tradnl"/>
        </w:rPr>
      </w:pPr>
    </w:p>
    <w:p w14:paraId="084A4A03" w14:textId="77777777" w:rsidR="00CF17D5" w:rsidRPr="008270B7" w:rsidRDefault="00CF17D5" w:rsidP="008270B7">
      <w:pPr>
        <w:jc w:val="both"/>
        <w:rPr>
          <w:rFonts w:cs="Arial"/>
          <w:sz w:val="16"/>
          <w:szCs w:val="16"/>
          <w:lang w:val="es-ES_tradnl"/>
        </w:rPr>
      </w:pPr>
      <w:r w:rsidRPr="008270B7">
        <w:rPr>
          <w:rFonts w:cs="Arial"/>
          <w:sz w:val="16"/>
          <w:szCs w:val="16"/>
          <w:lang w:val="es-ES_tradnl"/>
        </w:rPr>
        <w:t>Las entidades aseguradoras deben velar por que las Personas Naturales Vinculadas</w:t>
      </w:r>
      <w:r w:rsidRPr="008270B7">
        <w:rPr>
          <w:rFonts w:cs="Arial"/>
          <w:sz w:val="16"/>
          <w:szCs w:val="16"/>
        </w:rPr>
        <w:t xml:space="preserve">, actualicen sus conocimientos mediante la realización de un curso de actualización y exámenes de conocimiento, como mínimo cada 4 años, </w:t>
      </w:r>
      <w:r w:rsidRPr="008270B7">
        <w:rPr>
          <w:rFonts w:cs="Arial"/>
          <w:sz w:val="16"/>
          <w:szCs w:val="16"/>
          <w:lang w:val="es-ES_tradnl"/>
        </w:rPr>
        <w:t xml:space="preserve">contados a partir de la fecha en que la Persona Natural Vinculada acreditó por última vez su capacidad técnica. </w:t>
      </w:r>
    </w:p>
    <w:p w14:paraId="25061C93" w14:textId="77777777" w:rsidR="00CF17D5" w:rsidRPr="008270B7" w:rsidRDefault="00CF17D5" w:rsidP="008270B7">
      <w:pPr>
        <w:jc w:val="both"/>
        <w:rPr>
          <w:rFonts w:cs="Arial"/>
          <w:sz w:val="16"/>
          <w:szCs w:val="16"/>
          <w:lang w:val="es-ES_tradnl"/>
        </w:rPr>
      </w:pPr>
    </w:p>
    <w:p w14:paraId="7682F1D1" w14:textId="77777777" w:rsidR="00CF17D5" w:rsidRPr="008270B7" w:rsidRDefault="00CF17D5" w:rsidP="008270B7">
      <w:pPr>
        <w:jc w:val="both"/>
        <w:rPr>
          <w:rFonts w:cs="Arial"/>
          <w:sz w:val="16"/>
          <w:szCs w:val="16"/>
          <w:lang w:val="es-ES_tradnl"/>
        </w:rPr>
      </w:pPr>
      <w:r w:rsidRPr="008270B7">
        <w:rPr>
          <w:rFonts w:cs="Arial"/>
          <w:sz w:val="16"/>
          <w:szCs w:val="16"/>
          <w:lang w:val="es-ES_tradnl"/>
        </w:rPr>
        <w:t>Para tal efecto, dichas entidades deben verificar que las Personas Naturales Vinculadas demuestren la realización de un curso de actualización impartido por alguno de los Organismos Autorizados, el cual debe incluir los temas definidos en los subnumerales 7.2.1.1.2 al 7.2.1.1.5 de este capítulo.</w:t>
      </w:r>
    </w:p>
    <w:p w14:paraId="1883C488" w14:textId="77777777" w:rsidR="00CF17D5" w:rsidRPr="008270B7" w:rsidRDefault="00CF17D5" w:rsidP="008270B7">
      <w:pPr>
        <w:jc w:val="both"/>
        <w:rPr>
          <w:rFonts w:cs="Arial"/>
          <w:sz w:val="16"/>
          <w:szCs w:val="16"/>
          <w:lang w:val="es-ES_tradnl"/>
        </w:rPr>
      </w:pPr>
    </w:p>
    <w:p w14:paraId="12175493" w14:textId="77777777" w:rsidR="00CF17D5" w:rsidRPr="008270B7" w:rsidRDefault="00CF17D5" w:rsidP="008270B7">
      <w:pPr>
        <w:jc w:val="both"/>
        <w:rPr>
          <w:rFonts w:cs="Arial"/>
          <w:sz w:val="16"/>
          <w:szCs w:val="16"/>
          <w:lang w:val="es-ES_tradnl"/>
        </w:rPr>
      </w:pPr>
      <w:r w:rsidRPr="008270B7">
        <w:rPr>
          <w:rFonts w:cs="Arial"/>
          <w:sz w:val="16"/>
          <w:szCs w:val="16"/>
          <w:lang w:val="es-ES_tradnl"/>
        </w:rPr>
        <w:t xml:space="preserve">Las Personas Naturales Vinculadas que cuenten con la experiencia prevista en el artículo 2.30.1.1.3 del Decreto 2555 de 2010 previamente citado, también están obligadas a realizar el curso de actualización. </w:t>
      </w:r>
    </w:p>
    <w:p w14:paraId="2414439A" w14:textId="77777777" w:rsidR="00622816" w:rsidRPr="008270B7" w:rsidRDefault="00622816" w:rsidP="008270B7">
      <w:pPr>
        <w:jc w:val="both"/>
        <w:rPr>
          <w:rFonts w:cs="Arial"/>
          <w:sz w:val="16"/>
          <w:szCs w:val="16"/>
          <w:lang w:val="es-ES_tradnl"/>
        </w:rPr>
      </w:pPr>
    </w:p>
    <w:p w14:paraId="38722743" w14:textId="77777777" w:rsidR="00CF17D5" w:rsidRPr="008270B7" w:rsidRDefault="00CF17D5" w:rsidP="008270B7">
      <w:pPr>
        <w:jc w:val="both"/>
        <w:rPr>
          <w:rFonts w:cs="Arial"/>
          <w:sz w:val="16"/>
          <w:szCs w:val="16"/>
          <w:lang w:val="es-ES_tradnl"/>
        </w:rPr>
      </w:pPr>
      <w:r w:rsidRPr="008270B7">
        <w:rPr>
          <w:rFonts w:cs="Arial"/>
          <w:sz w:val="16"/>
          <w:szCs w:val="16"/>
          <w:lang w:val="es-ES_tradnl"/>
        </w:rPr>
        <w:t>7.2.2. Capacidad profesional</w:t>
      </w:r>
    </w:p>
    <w:p w14:paraId="0E5917A6" w14:textId="77777777" w:rsidR="00CF17D5" w:rsidRPr="008270B7" w:rsidRDefault="00CF17D5" w:rsidP="008270B7">
      <w:pPr>
        <w:jc w:val="both"/>
        <w:rPr>
          <w:rFonts w:cs="Arial"/>
          <w:sz w:val="16"/>
          <w:szCs w:val="16"/>
          <w:lang w:val="es-ES_tradnl"/>
        </w:rPr>
      </w:pPr>
    </w:p>
    <w:p w14:paraId="0AECFAC6" w14:textId="77777777" w:rsidR="00CF17D5" w:rsidRPr="008270B7" w:rsidRDefault="00CF17D5" w:rsidP="008270B7">
      <w:pPr>
        <w:jc w:val="both"/>
        <w:rPr>
          <w:rFonts w:cs="Arial"/>
          <w:sz w:val="16"/>
          <w:szCs w:val="16"/>
        </w:rPr>
      </w:pPr>
      <w:r w:rsidRPr="008270B7">
        <w:rPr>
          <w:rFonts w:cs="Arial"/>
          <w:sz w:val="16"/>
          <w:szCs w:val="16"/>
          <w:lang w:val="es-CO"/>
        </w:rPr>
        <w:t xml:space="preserve">Las entidades aseguradoras deben velar por que </w:t>
      </w:r>
      <w:r w:rsidRPr="008270B7">
        <w:rPr>
          <w:rFonts w:cs="Arial"/>
          <w:sz w:val="16"/>
          <w:szCs w:val="16"/>
          <w:lang w:val="es-ES_tradnl"/>
        </w:rPr>
        <w:t xml:space="preserve">las Personas Naturales Vinculadas ejerzan la intermediación de seguros </w:t>
      </w:r>
      <w:r w:rsidRPr="008270B7">
        <w:rPr>
          <w:rFonts w:cs="Arial"/>
          <w:sz w:val="16"/>
          <w:szCs w:val="16"/>
          <w:lang w:val="es-CO"/>
        </w:rPr>
        <w:t>de acuerdo con las sanas prácticas comerciales, financieras y de seguros. Para tal efecto, deben fijar mecanismos para corroborar la capacidad profesional de manera previa a su vinculación o al momento de efectuar la actualización de su capacidad técnica, de conformidad con lo establecido en el numeral 7.2.1.4 de este capítulo.</w:t>
      </w:r>
    </w:p>
    <w:p w14:paraId="405D2BA3" w14:textId="77777777" w:rsidR="00622816" w:rsidRPr="008270B7" w:rsidRDefault="00622816" w:rsidP="008270B7">
      <w:pPr>
        <w:jc w:val="both"/>
        <w:rPr>
          <w:rFonts w:cs="Arial"/>
          <w:sz w:val="16"/>
          <w:szCs w:val="16"/>
          <w:highlight w:val="yellow"/>
        </w:rPr>
      </w:pPr>
    </w:p>
    <w:p w14:paraId="515FDE69" w14:textId="77777777" w:rsidR="00CF17D5" w:rsidRPr="008270B7" w:rsidRDefault="00CF17D5" w:rsidP="008270B7">
      <w:pPr>
        <w:jc w:val="both"/>
        <w:rPr>
          <w:rFonts w:cs="Arial"/>
          <w:sz w:val="16"/>
          <w:szCs w:val="16"/>
        </w:rPr>
      </w:pPr>
      <w:r w:rsidRPr="008270B7">
        <w:rPr>
          <w:rFonts w:cs="Arial"/>
          <w:sz w:val="16"/>
          <w:szCs w:val="16"/>
        </w:rPr>
        <w:t>7.3. Responsabilidades de la junta directiva</w:t>
      </w:r>
    </w:p>
    <w:p w14:paraId="65E445F2" w14:textId="77777777" w:rsidR="00CF17D5" w:rsidRPr="008270B7" w:rsidRDefault="00CF17D5" w:rsidP="008270B7">
      <w:pPr>
        <w:jc w:val="both"/>
        <w:rPr>
          <w:rFonts w:cs="Arial"/>
          <w:sz w:val="16"/>
          <w:szCs w:val="16"/>
        </w:rPr>
      </w:pPr>
    </w:p>
    <w:p w14:paraId="015C5306" w14:textId="77777777" w:rsidR="00CF17D5" w:rsidRPr="008270B7" w:rsidRDefault="00CF17D5" w:rsidP="008270B7">
      <w:pPr>
        <w:jc w:val="both"/>
        <w:rPr>
          <w:rFonts w:cs="Arial"/>
          <w:sz w:val="16"/>
          <w:szCs w:val="16"/>
        </w:rPr>
      </w:pPr>
      <w:r w:rsidRPr="008270B7">
        <w:rPr>
          <w:rFonts w:cs="Arial"/>
          <w:sz w:val="16"/>
          <w:szCs w:val="16"/>
        </w:rPr>
        <w:t xml:space="preserve">Corresponde a la junta directiva de las entidades aseguradoras establecer las políticas y aprobar los procedimientos necesarios para garantizar el cumplimiento de los requisitos de idoneidad de las Personas Naturales Vinculadas y el cumplimiento del deber de información de </w:t>
      </w:r>
      <w:proofErr w:type="gramStart"/>
      <w:r w:rsidRPr="008270B7">
        <w:rPr>
          <w:rFonts w:cs="Arial"/>
          <w:sz w:val="16"/>
          <w:szCs w:val="16"/>
        </w:rPr>
        <w:t>los mismos</w:t>
      </w:r>
      <w:proofErr w:type="gramEnd"/>
      <w:r w:rsidRPr="008270B7">
        <w:rPr>
          <w:rFonts w:cs="Arial"/>
          <w:sz w:val="16"/>
          <w:szCs w:val="16"/>
        </w:rPr>
        <w:t>, refiriéndose como mínimo a los siguientes aspectos:</w:t>
      </w:r>
    </w:p>
    <w:p w14:paraId="4DE9B531" w14:textId="77777777" w:rsidR="00CF17D5" w:rsidRPr="008270B7" w:rsidRDefault="00CF17D5" w:rsidP="008270B7">
      <w:pPr>
        <w:jc w:val="both"/>
        <w:rPr>
          <w:rFonts w:cs="Arial"/>
          <w:sz w:val="16"/>
          <w:szCs w:val="16"/>
        </w:rPr>
      </w:pPr>
    </w:p>
    <w:p w14:paraId="19D8F27E" w14:textId="77777777" w:rsidR="00CF17D5" w:rsidRPr="008270B7" w:rsidRDefault="00CF17D5" w:rsidP="008270B7">
      <w:pPr>
        <w:jc w:val="both"/>
        <w:rPr>
          <w:rFonts w:cs="Arial"/>
          <w:sz w:val="16"/>
          <w:szCs w:val="16"/>
          <w:lang w:val="es-ES_tradnl"/>
        </w:rPr>
      </w:pPr>
      <w:r w:rsidRPr="008270B7">
        <w:rPr>
          <w:rFonts w:cs="Arial"/>
          <w:sz w:val="16"/>
          <w:szCs w:val="16"/>
        </w:rPr>
        <w:t xml:space="preserve">7.3.1. Procedimientos establecidos para garantizar el cumplimiento de los requisitos de acreditación de idoneidad y el régimen de inhabilidades e incompatibilidades que exijan las normas vigentes. Para tal efecto las políticas deben orientarse a asegurar (i) la actualización y renovación del contenido de los cursos y sus metodologías de evaluación, (ii) </w:t>
      </w:r>
      <w:r w:rsidRPr="008270B7">
        <w:rPr>
          <w:rFonts w:cs="Arial"/>
          <w:sz w:val="16"/>
          <w:szCs w:val="16"/>
          <w:lang w:val="es-ES_tradnl"/>
        </w:rPr>
        <w:t>la pertinencia del contenido</w:t>
      </w:r>
      <w:r w:rsidRPr="008270B7">
        <w:rPr>
          <w:rFonts w:cs="Arial"/>
          <w:sz w:val="16"/>
          <w:szCs w:val="16"/>
        </w:rPr>
        <w:t>, (iii) la objetividad e imparcialidad y confidencialidad de los métodos de evaluación</w:t>
      </w:r>
      <w:r w:rsidRPr="008270B7">
        <w:rPr>
          <w:rFonts w:cs="Arial"/>
          <w:sz w:val="16"/>
          <w:szCs w:val="16"/>
          <w:lang w:val="es-ES_tradnl"/>
        </w:rPr>
        <w:t xml:space="preserve"> y (iv) el adecuado manejo de conflictos de interés relacionados con el diseño, implementación y evaluación de la capacidad técnica de las personas naturales que ejerzan la intermediación de seguros. Este subnumeral sólo aplicará para aquellas entidades aseguradoras que implementen cursos de formación y/o de actualización destinados a la acreditación de capacidad técnica.</w:t>
      </w:r>
    </w:p>
    <w:p w14:paraId="32DB9AF9" w14:textId="77777777" w:rsidR="00CF17D5" w:rsidRPr="008270B7" w:rsidRDefault="00CF17D5" w:rsidP="008270B7">
      <w:pPr>
        <w:jc w:val="both"/>
        <w:rPr>
          <w:rFonts w:cs="Arial"/>
          <w:sz w:val="16"/>
          <w:szCs w:val="16"/>
        </w:rPr>
      </w:pPr>
    </w:p>
    <w:p w14:paraId="2DD51C13" w14:textId="77777777" w:rsidR="00CF17D5" w:rsidRPr="008270B7" w:rsidRDefault="00CF17D5" w:rsidP="008270B7">
      <w:pPr>
        <w:jc w:val="both"/>
        <w:rPr>
          <w:rFonts w:cs="Arial"/>
          <w:sz w:val="16"/>
          <w:szCs w:val="16"/>
        </w:rPr>
      </w:pPr>
      <w:r w:rsidRPr="008270B7">
        <w:rPr>
          <w:rFonts w:cs="Arial"/>
          <w:sz w:val="16"/>
          <w:szCs w:val="16"/>
        </w:rPr>
        <w:t xml:space="preserve">7.3.2. Determinación del área responsable del proceso de acreditación y homologación de idoneidad de las Personas Naturales Vinculadas autorizadas por parte de la entidad aseguradora para adelantar actividades de intermediación de seguros. Dicha función debe estar centralizada en una única área responsable y no puede ser delegada a otros funcionarios o áreas. </w:t>
      </w:r>
    </w:p>
    <w:p w14:paraId="63A2C1AB" w14:textId="77777777" w:rsidR="00CF17D5" w:rsidRPr="008270B7" w:rsidRDefault="00CF17D5" w:rsidP="008270B7">
      <w:pPr>
        <w:jc w:val="both"/>
        <w:rPr>
          <w:rFonts w:cs="Arial"/>
          <w:sz w:val="16"/>
          <w:szCs w:val="16"/>
        </w:rPr>
      </w:pPr>
    </w:p>
    <w:p w14:paraId="75ECA2DF" w14:textId="77777777" w:rsidR="00CF17D5" w:rsidRPr="008270B7" w:rsidRDefault="00CF17D5" w:rsidP="008270B7">
      <w:pPr>
        <w:jc w:val="both"/>
        <w:rPr>
          <w:rFonts w:cs="Arial"/>
          <w:sz w:val="16"/>
          <w:szCs w:val="16"/>
        </w:rPr>
      </w:pPr>
      <w:r w:rsidRPr="008270B7">
        <w:rPr>
          <w:rFonts w:cs="Arial"/>
          <w:sz w:val="16"/>
          <w:szCs w:val="16"/>
        </w:rPr>
        <w:t>7.3.3. Código de ética y conducta aplicable a las personas que ejerzan la intermediación de seguros que contenga como mínimo:</w:t>
      </w:r>
    </w:p>
    <w:p w14:paraId="1231387B" w14:textId="77777777" w:rsidR="00CF17D5" w:rsidRPr="008270B7" w:rsidRDefault="00CF17D5" w:rsidP="008270B7">
      <w:pPr>
        <w:jc w:val="both"/>
        <w:rPr>
          <w:rFonts w:cs="Arial"/>
          <w:sz w:val="16"/>
          <w:szCs w:val="16"/>
        </w:rPr>
      </w:pPr>
    </w:p>
    <w:p w14:paraId="055076B7" w14:textId="77777777" w:rsidR="00CF17D5" w:rsidRPr="008270B7" w:rsidRDefault="00CF17D5" w:rsidP="008270B7">
      <w:pPr>
        <w:jc w:val="both"/>
        <w:rPr>
          <w:rFonts w:cs="Arial"/>
          <w:sz w:val="16"/>
          <w:szCs w:val="16"/>
        </w:rPr>
      </w:pPr>
      <w:r w:rsidRPr="008270B7">
        <w:rPr>
          <w:rFonts w:cs="Arial"/>
          <w:sz w:val="16"/>
          <w:szCs w:val="16"/>
        </w:rPr>
        <w:t>7.3.3.1. El procedimiento y los criterios de evaluación de la capacidad profesional de las personas naturales que ejerzan labores de intermediación de seguros, vinculadas a la entidad aseguradora, a las agencias de seguros o a los agentes de seguros.</w:t>
      </w:r>
    </w:p>
    <w:p w14:paraId="7AE70E83" w14:textId="77777777" w:rsidR="00CF17D5" w:rsidRPr="008270B7" w:rsidRDefault="00CF17D5" w:rsidP="008270B7">
      <w:pPr>
        <w:jc w:val="both"/>
        <w:rPr>
          <w:rFonts w:cs="Arial"/>
          <w:sz w:val="16"/>
          <w:szCs w:val="16"/>
        </w:rPr>
      </w:pPr>
      <w:r w:rsidRPr="008270B7">
        <w:rPr>
          <w:rFonts w:cs="Arial"/>
          <w:sz w:val="16"/>
          <w:szCs w:val="16"/>
        </w:rPr>
        <w:t>7.3.3.2. Las conductas y prohibiciones a las cuales deben sujetarse las Personas Naturales Vinculadas a la entidad aseguradora, a las agencias de seguros o a los agentes de seguros.</w:t>
      </w:r>
    </w:p>
    <w:p w14:paraId="0D24B519" w14:textId="77777777" w:rsidR="00CF17D5" w:rsidRPr="008270B7" w:rsidRDefault="00CF17D5" w:rsidP="008270B7">
      <w:pPr>
        <w:jc w:val="both"/>
        <w:rPr>
          <w:rFonts w:cs="Arial"/>
          <w:sz w:val="16"/>
          <w:szCs w:val="16"/>
        </w:rPr>
      </w:pPr>
      <w:r w:rsidRPr="008270B7">
        <w:rPr>
          <w:rFonts w:cs="Arial"/>
          <w:sz w:val="16"/>
          <w:szCs w:val="16"/>
        </w:rPr>
        <w:t>7.3.3.3. El régimen legal de inhabilidades aplicable a las Personas Naturales Vinculadas.</w:t>
      </w:r>
    </w:p>
    <w:p w14:paraId="54443D26" w14:textId="77777777" w:rsidR="00CF17D5" w:rsidRPr="008270B7" w:rsidRDefault="00CF17D5" w:rsidP="008270B7">
      <w:pPr>
        <w:jc w:val="both"/>
        <w:rPr>
          <w:rFonts w:cs="Arial"/>
          <w:sz w:val="16"/>
          <w:szCs w:val="16"/>
        </w:rPr>
      </w:pPr>
      <w:r w:rsidRPr="008270B7">
        <w:rPr>
          <w:rFonts w:cs="Arial"/>
          <w:sz w:val="16"/>
          <w:szCs w:val="16"/>
        </w:rPr>
        <w:t xml:space="preserve">7.3.3.4. Los mecanismos mediante los cuales la entidad velará por el cumplimiento del deber de información desarrollado en el Capítulo I, Título III, Parte I de la CBJ. </w:t>
      </w:r>
    </w:p>
    <w:p w14:paraId="58EAB611" w14:textId="77777777" w:rsidR="00CF17D5" w:rsidRPr="008270B7" w:rsidRDefault="00CF17D5" w:rsidP="008270B7">
      <w:pPr>
        <w:jc w:val="both"/>
        <w:rPr>
          <w:rFonts w:cs="Arial"/>
          <w:sz w:val="16"/>
          <w:szCs w:val="16"/>
        </w:rPr>
      </w:pPr>
      <w:r w:rsidRPr="008270B7">
        <w:rPr>
          <w:rFonts w:cs="Arial"/>
          <w:sz w:val="16"/>
          <w:szCs w:val="16"/>
        </w:rPr>
        <w:t xml:space="preserve">7.3.3.5. Políticas y procedimientos aplicables al incumplimiento del código de ética y conducta que impliquen la adopción de sanciones contractuales por parte de la entidad aseguradora respecto de un agente o agencia de seguros y sus Personas Naturales Vinculadas. Estas políticas y procedimientos deben garantizar que la entidad aseguradora cuenta con los mecanismos y facultades suficientes respecto de los agentes o agencias para dar por terminada la vinculación de la persona infractora y actualizar dicha información en su sitio web y el Sistema Unificado de Consulta de Intermediarios de Seguros unificado de información de que trata </w:t>
      </w:r>
      <w:r w:rsidRPr="008270B7">
        <w:rPr>
          <w:rFonts w:cs="Arial"/>
          <w:snapToGrid w:val="0"/>
          <w:sz w:val="16"/>
          <w:szCs w:val="16"/>
        </w:rPr>
        <w:t>el Capítulo I, Título III, Parte I de la CBJ, respetando siempre el derecho al debido proceso</w:t>
      </w:r>
      <w:r w:rsidRPr="008270B7">
        <w:rPr>
          <w:rFonts w:cs="Arial"/>
          <w:sz w:val="16"/>
          <w:szCs w:val="16"/>
        </w:rPr>
        <w:t xml:space="preserve">. </w:t>
      </w:r>
    </w:p>
    <w:p w14:paraId="3F578D28" w14:textId="77777777" w:rsidR="00CF17D5" w:rsidRPr="008270B7" w:rsidRDefault="00CF17D5" w:rsidP="008270B7">
      <w:pPr>
        <w:jc w:val="both"/>
        <w:rPr>
          <w:rFonts w:cs="Arial"/>
          <w:sz w:val="16"/>
          <w:szCs w:val="16"/>
          <w:highlight w:val="yellow"/>
        </w:rPr>
      </w:pPr>
    </w:p>
    <w:p w14:paraId="1CCF0F5A" w14:textId="77777777" w:rsidR="00CF17D5" w:rsidRPr="008270B7" w:rsidRDefault="00CF17D5" w:rsidP="008270B7">
      <w:pPr>
        <w:jc w:val="both"/>
        <w:rPr>
          <w:rFonts w:cs="Arial"/>
          <w:sz w:val="16"/>
          <w:szCs w:val="16"/>
        </w:rPr>
      </w:pPr>
      <w:r w:rsidRPr="008270B7">
        <w:rPr>
          <w:rFonts w:cs="Arial"/>
          <w:sz w:val="16"/>
          <w:szCs w:val="16"/>
        </w:rPr>
        <w:t>7.3.4. Determinación de los mecanismos de control interno que aseguren un efectivo seguimiento de las políticas establecidas en materia de idoneidad de las personas naturales que ejerzan la intermediación de seguros, de conformidad con lo establecido en el Capítulo IV, Título I, Parte I de la CBJ. Estas medidas deben incluir mecanismos para mantener actualizado el listado de Personas Naturales Vinculadas.</w:t>
      </w:r>
    </w:p>
    <w:p w14:paraId="4E8C9EAD" w14:textId="77777777" w:rsidR="00CF17D5" w:rsidRPr="008270B7" w:rsidRDefault="00CF17D5" w:rsidP="008270B7">
      <w:pPr>
        <w:jc w:val="both"/>
        <w:rPr>
          <w:rFonts w:cs="Arial"/>
          <w:sz w:val="16"/>
          <w:szCs w:val="16"/>
          <w:highlight w:val="yellow"/>
        </w:rPr>
      </w:pPr>
    </w:p>
    <w:p w14:paraId="03B0286B" w14:textId="77777777" w:rsidR="00CF17D5" w:rsidRPr="008270B7" w:rsidRDefault="00CF17D5" w:rsidP="008270B7">
      <w:pPr>
        <w:jc w:val="both"/>
        <w:rPr>
          <w:rFonts w:cs="Arial"/>
          <w:sz w:val="16"/>
          <w:szCs w:val="16"/>
        </w:rPr>
      </w:pPr>
      <w:r w:rsidRPr="008270B7">
        <w:rPr>
          <w:rFonts w:cs="Arial"/>
          <w:sz w:val="16"/>
          <w:szCs w:val="16"/>
        </w:rPr>
        <w:t>7.3.5. Los mecanismos y procedimientos adicionales que la entidad considere necesario implementar para el cumplimiento de las obligaciones establecidas en el presente numeral.</w:t>
      </w:r>
    </w:p>
    <w:p w14:paraId="180B54FC" w14:textId="77777777" w:rsidR="00CF17D5" w:rsidRPr="008270B7" w:rsidRDefault="00CF17D5" w:rsidP="008270B7">
      <w:pPr>
        <w:jc w:val="both"/>
        <w:rPr>
          <w:rFonts w:cs="Arial"/>
          <w:iCs/>
          <w:sz w:val="16"/>
          <w:szCs w:val="16"/>
          <w:highlight w:val="yellow"/>
          <w:lang w:val="es-CO"/>
        </w:rPr>
      </w:pPr>
    </w:p>
    <w:p w14:paraId="05C7FF4C" w14:textId="77777777" w:rsidR="00CF17D5" w:rsidRPr="008270B7" w:rsidRDefault="00CF17D5" w:rsidP="008270B7">
      <w:pPr>
        <w:jc w:val="both"/>
        <w:rPr>
          <w:rFonts w:cs="Arial"/>
          <w:sz w:val="16"/>
          <w:szCs w:val="16"/>
          <w:lang w:val="es-MX"/>
        </w:rPr>
      </w:pPr>
      <w:r w:rsidRPr="008270B7">
        <w:rPr>
          <w:rFonts w:cs="Arial"/>
          <w:sz w:val="16"/>
          <w:szCs w:val="16"/>
          <w:lang w:val="es-MX"/>
        </w:rPr>
        <w:t>7.4. Documentación</w:t>
      </w:r>
    </w:p>
    <w:p w14:paraId="6499BF7A" w14:textId="77777777" w:rsidR="00CF17D5" w:rsidRPr="008270B7" w:rsidRDefault="00CF17D5" w:rsidP="008270B7">
      <w:pPr>
        <w:jc w:val="both"/>
        <w:rPr>
          <w:rFonts w:cs="Arial"/>
          <w:sz w:val="16"/>
          <w:szCs w:val="16"/>
          <w:lang w:val="es-MX"/>
        </w:rPr>
      </w:pPr>
    </w:p>
    <w:p w14:paraId="7953A659" w14:textId="77777777" w:rsidR="00CF17D5" w:rsidRPr="008270B7" w:rsidRDefault="00CF17D5" w:rsidP="008270B7">
      <w:pPr>
        <w:jc w:val="both"/>
        <w:rPr>
          <w:rFonts w:cs="Arial"/>
          <w:sz w:val="16"/>
          <w:szCs w:val="16"/>
          <w:lang w:val="es-MX"/>
        </w:rPr>
      </w:pPr>
      <w:r w:rsidRPr="008270B7">
        <w:rPr>
          <w:rFonts w:cs="Arial"/>
          <w:sz w:val="16"/>
          <w:szCs w:val="16"/>
          <w:lang w:val="es-MX"/>
        </w:rPr>
        <w:t>Las entidades aseguradoras deben documentar el cumplimiento de las instrucciones que se adoptan en el numeral 7 de este capítulo y tenerlos a disposición de la SFC. En el evento en que los cursos y exámenes sean realizados por medios virtuales, deben existir medios verificables para corroborar el cumplimiento de los requisitos establecidos en este numeral.</w:t>
      </w:r>
    </w:p>
    <w:sectPr w:rsidR="00CF17D5" w:rsidRPr="008270B7" w:rsidSect="004019BF">
      <w:headerReference w:type="default" r:id="rId106"/>
      <w:footerReference w:type="even" r:id="rId107"/>
      <w:footerReference w:type="default" r:id="rId108"/>
      <w:pgSz w:w="12240" w:h="18720" w:code="257"/>
      <w:pgMar w:top="1417" w:right="1701" w:bottom="1417" w:left="1701" w:header="709" w:footer="865"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40B3" w14:textId="77777777" w:rsidR="00995DE3" w:rsidRDefault="00995DE3" w:rsidP="00492483">
      <w:r>
        <w:separator/>
      </w:r>
    </w:p>
  </w:endnote>
  <w:endnote w:type="continuationSeparator" w:id="0">
    <w:p w14:paraId="27CF5F30" w14:textId="77777777" w:rsidR="00995DE3" w:rsidRDefault="00995DE3" w:rsidP="00492483">
      <w:r>
        <w:continuationSeparator/>
      </w:r>
    </w:p>
  </w:endnote>
  <w:endnote w:type="continuationNotice" w:id="1">
    <w:p w14:paraId="266C11AD" w14:textId="77777777" w:rsidR="00995DE3" w:rsidRDefault="00995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6A30B" w14:textId="77777777" w:rsidR="009A711C" w:rsidRDefault="009A711C" w:rsidP="009A711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w:t>
    </w:r>
  </w:p>
  <w:p w14:paraId="2A99BEB4" w14:textId="77777777" w:rsidR="009A711C" w:rsidRPr="00492483" w:rsidRDefault="009A711C" w:rsidP="009A711C">
    <w:pPr>
      <w:pStyle w:val="Piedepgina"/>
      <w:rPr>
        <w:b/>
        <w:sz w:val="18"/>
        <w:szCs w:val="18"/>
      </w:rPr>
    </w:pPr>
    <w:r>
      <w:rPr>
        <w:b/>
        <w:sz w:val="18"/>
        <w:szCs w:val="18"/>
      </w:rPr>
      <w:t xml:space="preserve">Circular Externa 014 de 2022                                                                                                       </w:t>
    </w:r>
    <w:proofErr w:type="gramStart"/>
    <w:r>
      <w:rPr>
        <w:b/>
        <w:sz w:val="18"/>
        <w:szCs w:val="18"/>
      </w:rPr>
      <w:t>Junio</w:t>
    </w:r>
    <w:proofErr w:type="gramEnd"/>
    <w:r>
      <w:rPr>
        <w:b/>
        <w:sz w:val="18"/>
        <w:szCs w:val="18"/>
      </w:rPr>
      <w:t xml:space="preserve"> de 2022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D2890" w14:textId="77777777" w:rsidR="002D6E00" w:rsidRDefault="002D6E00"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fldChar w:fldCharType="begin"/>
    </w:r>
    <w:r>
      <w:rPr>
        <w:b/>
        <w:sz w:val="18"/>
        <w:szCs w:val="18"/>
      </w:rPr>
      <w:instrText xml:space="preserve"> PAGE  \* Arabic  \* MERGEFORMAT </w:instrText>
    </w:r>
    <w:r>
      <w:rPr>
        <w:b/>
        <w:sz w:val="18"/>
        <w:szCs w:val="18"/>
      </w:rPr>
      <w:fldChar w:fldCharType="separate"/>
    </w:r>
    <w:r>
      <w:rPr>
        <w:b/>
        <w:noProof/>
        <w:sz w:val="18"/>
        <w:szCs w:val="18"/>
      </w:rPr>
      <w:t>10</w:t>
    </w:r>
    <w:r>
      <w:rPr>
        <w:b/>
        <w:sz w:val="18"/>
        <w:szCs w:val="18"/>
      </w:rPr>
      <w:fldChar w:fldCharType="end"/>
    </w:r>
  </w:p>
  <w:p w14:paraId="70D9C8BE" w14:textId="77777777" w:rsidR="002D6E00" w:rsidRPr="00492483" w:rsidRDefault="002D6E00" w:rsidP="007656FF">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A13BF" w14:textId="77777777" w:rsidR="003D3E9A" w:rsidRPr="00112228" w:rsidRDefault="003D3E9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r w:rsidRPr="003D3E9A">
      <w:rPr>
        <w:b/>
        <w:sz w:val="18"/>
        <w:szCs w:val="18"/>
      </w:rPr>
      <w:fldChar w:fldCharType="begin"/>
    </w:r>
    <w:r w:rsidRPr="003D3E9A">
      <w:rPr>
        <w:b/>
        <w:sz w:val="18"/>
        <w:szCs w:val="18"/>
      </w:rPr>
      <w:instrText>PAGE   \* MERGEFORMAT</w:instrText>
    </w:r>
    <w:r w:rsidRPr="003D3E9A">
      <w:rPr>
        <w:b/>
        <w:sz w:val="18"/>
        <w:szCs w:val="18"/>
      </w:rPr>
      <w:fldChar w:fldCharType="separate"/>
    </w:r>
    <w:r w:rsidRPr="003D3E9A">
      <w:rPr>
        <w:b/>
        <w:sz w:val="18"/>
        <w:szCs w:val="18"/>
        <w:lang w:val="es-ES"/>
      </w:rPr>
      <w:t>1</w:t>
    </w:r>
    <w:r w:rsidRPr="003D3E9A">
      <w:rPr>
        <w:b/>
        <w:sz w:val="18"/>
        <w:szCs w:val="18"/>
      </w:rPr>
      <w:fldChar w:fldCharType="end"/>
    </w:r>
  </w:p>
  <w:p w14:paraId="38246CF7" w14:textId="19A22192" w:rsidR="003D3E9A" w:rsidRPr="00112228" w:rsidRDefault="003D3E9A" w:rsidP="00924F40">
    <w:pPr>
      <w:pStyle w:val="Piedepgina"/>
      <w:rPr>
        <w:b/>
        <w:sz w:val="18"/>
        <w:szCs w:val="18"/>
      </w:rPr>
    </w:pPr>
    <w:r>
      <w:rPr>
        <w:b/>
        <w:sz w:val="18"/>
        <w:szCs w:val="18"/>
      </w:rPr>
      <w:t xml:space="preserve">Circular Externa </w:t>
    </w:r>
    <w:proofErr w:type="spellStart"/>
    <w:r w:rsidR="00233737">
      <w:rPr>
        <w:b/>
        <w:sz w:val="18"/>
        <w:szCs w:val="18"/>
      </w:rPr>
      <w:t>xxx</w:t>
    </w:r>
    <w:proofErr w:type="spellEnd"/>
    <w:r>
      <w:rPr>
        <w:b/>
        <w:sz w:val="18"/>
        <w:szCs w:val="18"/>
      </w:rPr>
      <w:t xml:space="preserve"> de </w:t>
    </w:r>
    <w:r w:rsidRPr="00112228">
      <w:rPr>
        <w:b/>
        <w:sz w:val="18"/>
        <w:szCs w:val="18"/>
      </w:rPr>
      <w:t>20</w:t>
    </w:r>
    <w:r w:rsidR="00233737">
      <w:rPr>
        <w:b/>
        <w:sz w:val="18"/>
        <w:szCs w:val="18"/>
      </w:rPr>
      <w:t>25</w:t>
    </w:r>
    <w:r>
      <w:rPr>
        <w:b/>
        <w:sz w:val="18"/>
        <w:szCs w:val="18"/>
      </w:rPr>
      <w:t xml:space="preserve"> </w:t>
    </w:r>
    <w:r w:rsidRPr="00112228">
      <w:rPr>
        <w:b/>
        <w:sz w:val="18"/>
        <w:szCs w:val="18"/>
      </w:rPr>
      <w:tab/>
      <w:t xml:space="preserve">                                                                        </w:t>
    </w:r>
    <w:r>
      <w:rPr>
        <w:b/>
        <w:sz w:val="18"/>
        <w:szCs w:val="18"/>
      </w:rPr>
      <w:t xml:space="preserve">                </w:t>
    </w:r>
    <w:r w:rsidR="00233737">
      <w:rPr>
        <w:b/>
        <w:sz w:val="18"/>
        <w:szCs w:val="18"/>
      </w:rPr>
      <w:t xml:space="preserve">                             </w:t>
    </w:r>
    <w:r>
      <w:rPr>
        <w:b/>
        <w:sz w:val="18"/>
        <w:szCs w:val="18"/>
      </w:rPr>
      <w:t>20</w:t>
    </w:r>
    <w:r w:rsidR="00233737">
      <w:rPr>
        <w:b/>
        <w:sz w:val="18"/>
        <w:szCs w:val="18"/>
      </w:rPr>
      <w:t>25</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40CF6" w14:textId="77777777" w:rsidR="002D6E00" w:rsidRDefault="002D6E00"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fldChar w:fldCharType="begin"/>
    </w:r>
    <w:r>
      <w:rPr>
        <w:b/>
        <w:sz w:val="18"/>
        <w:szCs w:val="18"/>
      </w:rPr>
      <w:instrText xml:space="preserve"> PAGE  \* Arabic  \* MERGEFORMAT </w:instrText>
    </w:r>
    <w:r>
      <w:rPr>
        <w:b/>
        <w:sz w:val="18"/>
        <w:szCs w:val="18"/>
      </w:rPr>
      <w:fldChar w:fldCharType="separate"/>
    </w:r>
    <w:r>
      <w:rPr>
        <w:b/>
        <w:noProof/>
        <w:sz w:val="18"/>
        <w:szCs w:val="18"/>
      </w:rPr>
      <w:t>10</w:t>
    </w:r>
    <w:r>
      <w:rPr>
        <w:b/>
        <w:sz w:val="18"/>
        <w:szCs w:val="18"/>
      </w:rPr>
      <w:fldChar w:fldCharType="end"/>
    </w:r>
  </w:p>
  <w:p w14:paraId="2D8202F3" w14:textId="77777777" w:rsidR="002D6E00" w:rsidRPr="00492483" w:rsidRDefault="002D6E00" w:rsidP="007656FF">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CD23F" w14:textId="77777777" w:rsidR="002D6E00" w:rsidRPr="00112228" w:rsidRDefault="002D6E00"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6</w:t>
    </w:r>
  </w:p>
  <w:p w14:paraId="1D5A80F2" w14:textId="1CC5BB19" w:rsidR="002D6E00" w:rsidRPr="00112228" w:rsidRDefault="002D6E00" w:rsidP="00924F40">
    <w:pPr>
      <w:pStyle w:val="Piedepgina"/>
      <w:rPr>
        <w:b/>
        <w:sz w:val="18"/>
        <w:szCs w:val="18"/>
      </w:rPr>
    </w:pPr>
    <w:r>
      <w:rPr>
        <w:b/>
        <w:sz w:val="18"/>
        <w:szCs w:val="18"/>
      </w:rPr>
      <w:t xml:space="preserve">Circular Externa </w:t>
    </w:r>
    <w:proofErr w:type="spellStart"/>
    <w:r w:rsidR="00233737">
      <w:rPr>
        <w:b/>
        <w:sz w:val="18"/>
        <w:szCs w:val="18"/>
      </w:rPr>
      <w:t>xxx</w:t>
    </w:r>
    <w:proofErr w:type="spellEnd"/>
    <w:r>
      <w:rPr>
        <w:b/>
        <w:sz w:val="18"/>
        <w:szCs w:val="18"/>
      </w:rPr>
      <w:t xml:space="preserve"> de </w:t>
    </w:r>
    <w:r w:rsidRPr="00112228">
      <w:rPr>
        <w:b/>
        <w:sz w:val="18"/>
        <w:szCs w:val="18"/>
      </w:rPr>
      <w:t>20</w:t>
    </w:r>
    <w:r>
      <w:rPr>
        <w:b/>
        <w:sz w:val="18"/>
        <w:szCs w:val="18"/>
      </w:rPr>
      <w:t>2</w:t>
    </w:r>
    <w:r w:rsidR="00233737">
      <w:rPr>
        <w:b/>
        <w:sz w:val="18"/>
        <w:szCs w:val="18"/>
      </w:rPr>
      <w:t>5</w:t>
    </w:r>
    <w:r>
      <w:rPr>
        <w:b/>
        <w:sz w:val="18"/>
        <w:szCs w:val="18"/>
      </w:rPr>
      <w:t xml:space="preserve"> </w:t>
    </w:r>
    <w:r w:rsidRPr="00112228">
      <w:rPr>
        <w:b/>
        <w:sz w:val="18"/>
        <w:szCs w:val="18"/>
      </w:rPr>
      <w:tab/>
      <w:t xml:space="preserve">                                                                        </w:t>
    </w:r>
    <w:r>
      <w:rPr>
        <w:b/>
        <w:sz w:val="18"/>
        <w:szCs w:val="18"/>
      </w:rPr>
      <w:t xml:space="preserve">                      </w:t>
    </w:r>
    <w:r w:rsidR="00233737">
      <w:rPr>
        <w:b/>
        <w:sz w:val="18"/>
        <w:szCs w:val="18"/>
      </w:rPr>
      <w:t xml:space="preserve">                        </w:t>
    </w:r>
    <w:r>
      <w:rPr>
        <w:b/>
        <w:sz w:val="18"/>
        <w:szCs w:val="18"/>
      </w:rPr>
      <w:t>202</w:t>
    </w:r>
    <w:r w:rsidR="00233737">
      <w:rPr>
        <w:b/>
        <w:sz w:val="18"/>
        <w:szCs w:val="18"/>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BD19" w14:textId="77777777" w:rsidR="002D6E00" w:rsidRDefault="002D6E00" w:rsidP="002D6E00">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6-1</w:t>
    </w:r>
  </w:p>
  <w:p w14:paraId="2D993AA8" w14:textId="77777777" w:rsidR="002D6E00" w:rsidRPr="00492483" w:rsidRDefault="002D6E00" w:rsidP="002D6E00">
    <w:pPr>
      <w:pStyle w:val="Piedepgina"/>
      <w:tabs>
        <w:tab w:val="clear" w:pos="8504"/>
        <w:tab w:val="right" w:pos="8789"/>
      </w:tabs>
      <w:rPr>
        <w:b/>
        <w:sz w:val="18"/>
        <w:szCs w:val="18"/>
      </w:rPr>
    </w:pPr>
    <w:r>
      <w:rPr>
        <w:b/>
        <w:sz w:val="18"/>
        <w:szCs w:val="18"/>
      </w:rPr>
      <w:t xml:space="preserve">Circular Externa 027 de 2022                                                                                                </w:t>
    </w:r>
    <w:proofErr w:type="gramStart"/>
    <w:r>
      <w:rPr>
        <w:b/>
        <w:sz w:val="18"/>
        <w:szCs w:val="18"/>
      </w:rPr>
      <w:t>Diciembre</w:t>
    </w:r>
    <w:proofErr w:type="gramEnd"/>
    <w:r>
      <w:rPr>
        <w:b/>
        <w:sz w:val="18"/>
        <w:szCs w:val="18"/>
      </w:rPr>
      <w:t xml:space="preserve"> de 2022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1F3C2" w14:textId="77777777" w:rsidR="009A711C" w:rsidRDefault="009A711C" w:rsidP="009A711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9-1</w:t>
    </w:r>
  </w:p>
  <w:p w14:paraId="4C712108" w14:textId="77777777" w:rsidR="009A711C" w:rsidRPr="00492483" w:rsidRDefault="009A711C" w:rsidP="009A711C">
    <w:pPr>
      <w:pStyle w:val="Piedepgina"/>
      <w:rPr>
        <w:b/>
        <w:sz w:val="18"/>
        <w:szCs w:val="18"/>
      </w:rPr>
    </w:pPr>
    <w:r>
      <w:rPr>
        <w:b/>
        <w:sz w:val="18"/>
        <w:szCs w:val="18"/>
      </w:rPr>
      <w:t xml:space="preserve">Circular Externa 014 de 2022                                                                                                       </w:t>
    </w:r>
    <w:proofErr w:type="gramStart"/>
    <w:r>
      <w:rPr>
        <w:b/>
        <w:sz w:val="18"/>
        <w:szCs w:val="18"/>
      </w:rPr>
      <w:t>Junio</w:t>
    </w:r>
    <w:proofErr w:type="gramEnd"/>
    <w:r>
      <w:rPr>
        <w:b/>
        <w:sz w:val="18"/>
        <w:szCs w:val="18"/>
      </w:rPr>
      <w:t xml:space="preserve"> de 2022</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F14F2" w14:textId="77777777" w:rsidR="00AE4F53" w:rsidRPr="00112228" w:rsidRDefault="00AE4F53"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w:t>
    </w:r>
  </w:p>
  <w:p w14:paraId="59535AC9" w14:textId="77777777" w:rsidR="00AE4F53" w:rsidRPr="00112228" w:rsidRDefault="00AE4F53" w:rsidP="00761771">
    <w:pPr>
      <w:pStyle w:val="Piedepgina"/>
      <w:rPr>
        <w:b/>
        <w:sz w:val="18"/>
        <w:szCs w:val="18"/>
      </w:rPr>
    </w:pPr>
    <w:r>
      <w:rPr>
        <w:b/>
        <w:sz w:val="18"/>
        <w:szCs w:val="18"/>
      </w:rPr>
      <w:t xml:space="preserve">Circular Externa   027   de 2021     </w:t>
    </w:r>
    <w:r w:rsidRPr="00112228">
      <w:rPr>
        <w:b/>
        <w:sz w:val="18"/>
        <w:szCs w:val="18"/>
      </w:rPr>
      <w:tab/>
      <w:t xml:space="preserve"> </w:t>
    </w:r>
    <w:r>
      <w:rPr>
        <w:b/>
        <w:sz w:val="18"/>
        <w:szCs w:val="18"/>
      </w:rPr>
      <w:tab/>
      <w:t xml:space="preserve">                                                         </w:t>
    </w:r>
    <w:proofErr w:type="gramStart"/>
    <w:r>
      <w:rPr>
        <w:b/>
        <w:sz w:val="18"/>
        <w:szCs w:val="18"/>
      </w:rPr>
      <w:t>Noviembre</w:t>
    </w:r>
    <w:proofErr w:type="gramEnd"/>
    <w:r>
      <w:rPr>
        <w:b/>
        <w:sz w:val="18"/>
        <w:szCs w:val="18"/>
      </w:rPr>
      <w:t xml:space="preserve"> de 2021</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5294" w14:textId="77777777" w:rsidR="00AE4F53" w:rsidRPr="00112228" w:rsidRDefault="00AE4F53" w:rsidP="00837122">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7-1</w:t>
    </w:r>
  </w:p>
  <w:p w14:paraId="2486C984" w14:textId="77777777" w:rsidR="00AE4F53" w:rsidRPr="00112228" w:rsidRDefault="00AE4F53" w:rsidP="00761771">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w:t>
    </w:r>
    <w:proofErr w:type="gramStart"/>
    <w:r>
      <w:rPr>
        <w:b/>
        <w:sz w:val="18"/>
        <w:szCs w:val="18"/>
      </w:rPr>
      <w:t>Noviembre</w:t>
    </w:r>
    <w:proofErr w:type="gramEnd"/>
    <w:r>
      <w:rPr>
        <w:b/>
        <w:sz w:val="18"/>
        <w:szCs w:val="18"/>
      </w:rPr>
      <w:t xml:space="preserve"> de 2021</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3DD41" w14:textId="77777777" w:rsidR="00F56B75" w:rsidRPr="00112228" w:rsidRDefault="00F56B75" w:rsidP="00F56B75">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7-2</w:t>
    </w:r>
  </w:p>
  <w:p w14:paraId="12BBEEFE" w14:textId="77777777" w:rsidR="00F56B75" w:rsidRPr="00112228" w:rsidRDefault="00F56B75" w:rsidP="00F56B75">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2021     </w:t>
    </w:r>
    <w:r w:rsidRPr="00112228">
      <w:rPr>
        <w:b/>
        <w:sz w:val="18"/>
        <w:szCs w:val="18"/>
      </w:rPr>
      <w:tab/>
      <w:t xml:space="preserve"> </w:t>
    </w:r>
    <w:r>
      <w:rPr>
        <w:b/>
        <w:sz w:val="18"/>
        <w:szCs w:val="18"/>
      </w:rPr>
      <w:tab/>
      <w:t xml:space="preserve">                                                       </w:t>
    </w:r>
    <w:proofErr w:type="gramStart"/>
    <w:r>
      <w:rPr>
        <w:b/>
        <w:sz w:val="18"/>
        <w:szCs w:val="18"/>
      </w:rPr>
      <w:t>Noviembre  de</w:t>
    </w:r>
    <w:proofErr w:type="gramEnd"/>
    <w:r>
      <w:rPr>
        <w:b/>
        <w:sz w:val="18"/>
        <w:szCs w:val="18"/>
      </w:rPr>
      <w:t xml:space="preserve"> 2021</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7EC7A" w14:textId="77777777"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8</w:t>
    </w:r>
  </w:p>
  <w:p w14:paraId="3207BED7" w14:textId="77777777" w:rsidR="00534159" w:rsidRPr="00112228" w:rsidRDefault="00534159"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AA61F"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II – TÍTULO IV – CAPÍTULO </w:t>
    </w:r>
    <w:r>
      <w:rPr>
        <w:b/>
        <w:sz w:val="18"/>
        <w:szCs w:val="18"/>
      </w:rPr>
      <w:t>II</w:t>
    </w:r>
    <w:r>
      <w:rPr>
        <w:b/>
        <w:sz w:val="18"/>
        <w:szCs w:val="18"/>
      </w:rPr>
      <w:tab/>
    </w:r>
    <w:r>
      <w:rPr>
        <w:b/>
        <w:sz w:val="18"/>
        <w:szCs w:val="18"/>
      </w:rPr>
      <w:tab/>
      <w:t xml:space="preserve">   PÁGINA 1</w:t>
    </w:r>
  </w:p>
  <w:p w14:paraId="3B73DBDD" w14:textId="13D55181" w:rsidR="00534159" w:rsidRPr="00492483" w:rsidRDefault="00534159" w:rsidP="007656FF">
    <w:pPr>
      <w:pStyle w:val="Piedepgina"/>
      <w:rPr>
        <w:b/>
        <w:sz w:val="18"/>
        <w:szCs w:val="18"/>
      </w:rPr>
    </w:pPr>
    <w:r>
      <w:rPr>
        <w:b/>
        <w:sz w:val="18"/>
        <w:szCs w:val="18"/>
      </w:rPr>
      <w:t xml:space="preserve">Circular Externa </w:t>
    </w:r>
    <w:proofErr w:type="spellStart"/>
    <w:r w:rsidR="00233737">
      <w:rPr>
        <w:b/>
        <w:sz w:val="18"/>
        <w:szCs w:val="18"/>
      </w:rPr>
      <w:t>xxx</w:t>
    </w:r>
    <w:proofErr w:type="spellEnd"/>
    <w:r>
      <w:rPr>
        <w:b/>
        <w:sz w:val="18"/>
        <w:szCs w:val="18"/>
      </w:rPr>
      <w:t xml:space="preserve"> de 20</w:t>
    </w:r>
    <w:r w:rsidR="00233737">
      <w:rPr>
        <w:b/>
        <w:sz w:val="18"/>
        <w:szCs w:val="18"/>
      </w:rPr>
      <w:t>25</w:t>
    </w:r>
    <w:r>
      <w:rPr>
        <w:b/>
        <w:sz w:val="18"/>
        <w:szCs w:val="18"/>
      </w:rPr>
      <w:t xml:space="preserve">                                                                                                 </w:t>
    </w:r>
    <w:r w:rsidR="00233737">
      <w:rPr>
        <w:b/>
        <w:sz w:val="18"/>
        <w:szCs w:val="18"/>
      </w:rPr>
      <w:t xml:space="preserve">                    </w:t>
    </w:r>
    <w:r>
      <w:rPr>
        <w:b/>
        <w:sz w:val="18"/>
        <w:szCs w:val="18"/>
      </w:rPr>
      <w:t xml:space="preserve">  </w:t>
    </w:r>
    <w:r w:rsidR="00233737">
      <w:rPr>
        <w:b/>
        <w:sz w:val="18"/>
        <w:szCs w:val="18"/>
      </w:rPr>
      <w:t>2025</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94B02" w14:textId="77777777" w:rsidR="003D3E9A" w:rsidRPr="00112228" w:rsidRDefault="003D3E9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9</w:t>
    </w:r>
  </w:p>
  <w:p w14:paraId="677F5E25" w14:textId="77777777" w:rsidR="003D3E9A" w:rsidRPr="00112228" w:rsidRDefault="003D3E9A" w:rsidP="00924F40">
    <w:pPr>
      <w:pStyle w:val="Piedepgina"/>
      <w:rPr>
        <w:b/>
        <w:sz w:val="18"/>
        <w:szCs w:val="18"/>
      </w:rPr>
    </w:pPr>
    <w:r>
      <w:rPr>
        <w:b/>
        <w:sz w:val="18"/>
        <w:szCs w:val="18"/>
      </w:rPr>
      <w:t xml:space="preserve">Circular Externa 027 de </w:t>
    </w:r>
    <w:r w:rsidRPr="00112228">
      <w:rPr>
        <w:b/>
        <w:sz w:val="18"/>
        <w:szCs w:val="18"/>
      </w:rPr>
      <w:t>20</w:t>
    </w:r>
    <w:r>
      <w:rPr>
        <w:b/>
        <w:sz w:val="18"/>
        <w:szCs w:val="18"/>
      </w:rPr>
      <w:t xml:space="preserve">22   </w:t>
    </w:r>
    <w:r w:rsidRPr="00112228">
      <w:rPr>
        <w:b/>
        <w:sz w:val="18"/>
        <w:szCs w:val="18"/>
      </w:rPr>
      <w:t xml:space="preserve">                                                                       </w:t>
    </w:r>
    <w:r>
      <w:rPr>
        <w:b/>
        <w:sz w:val="18"/>
        <w:szCs w:val="18"/>
      </w:rPr>
      <w:t xml:space="preserve">                      </w:t>
    </w:r>
    <w:proofErr w:type="gramStart"/>
    <w:r>
      <w:rPr>
        <w:b/>
        <w:sz w:val="18"/>
        <w:szCs w:val="18"/>
      </w:rPr>
      <w:t>Diciembre</w:t>
    </w:r>
    <w:proofErr w:type="gramEnd"/>
    <w:r>
      <w:rPr>
        <w:b/>
        <w:sz w:val="18"/>
        <w:szCs w:val="18"/>
      </w:rPr>
      <w:t xml:space="preserve"> de 2022</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902BE" w14:textId="77777777" w:rsidR="003D3E9A" w:rsidRPr="00112228" w:rsidRDefault="003D3E9A" w:rsidP="003D3E9A">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9-1</w:t>
    </w:r>
  </w:p>
  <w:p w14:paraId="115AF03E" w14:textId="77777777" w:rsidR="003D3E9A" w:rsidRPr="00112228" w:rsidRDefault="003D3E9A" w:rsidP="003D3E9A">
    <w:pPr>
      <w:pStyle w:val="Piedepgina"/>
      <w:rPr>
        <w:b/>
        <w:sz w:val="18"/>
        <w:szCs w:val="18"/>
      </w:rPr>
    </w:pPr>
    <w:r>
      <w:rPr>
        <w:b/>
        <w:sz w:val="18"/>
        <w:szCs w:val="18"/>
      </w:rPr>
      <w:t xml:space="preserve">Circular Externa 027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2022</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F27E" w14:textId="77777777" w:rsidR="00534159" w:rsidRDefault="00534159">
    <w:pPr>
      <w:pStyle w:val="Piedepgin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94779"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10</w:t>
    </w:r>
  </w:p>
  <w:p w14:paraId="49E7B26A" w14:textId="77777777" w:rsidR="00534159" w:rsidRPr="00492483" w:rsidRDefault="00534159" w:rsidP="00BB0A30">
    <w:pPr>
      <w:pStyle w:val="Piedepgina"/>
      <w:rPr>
        <w:b/>
        <w:sz w:val="18"/>
        <w:szCs w:val="18"/>
      </w:rPr>
    </w:pPr>
    <w:r>
      <w:rPr>
        <w:b/>
        <w:sz w:val="18"/>
        <w:szCs w:val="18"/>
      </w:rPr>
      <w:t xml:space="preserve">Circular Externa           de 2020                                                                                                     </w:t>
    </w:r>
    <w:proofErr w:type="gramStart"/>
    <w:r>
      <w:rPr>
        <w:b/>
        <w:sz w:val="18"/>
        <w:szCs w:val="18"/>
      </w:rPr>
      <w:t>Mayo</w:t>
    </w:r>
    <w:proofErr w:type="gramEnd"/>
    <w:r>
      <w:rPr>
        <w:b/>
        <w:sz w:val="18"/>
        <w:szCs w:val="18"/>
      </w:rPr>
      <w:t xml:space="preserve"> de 2020</w:t>
    </w:r>
  </w:p>
  <w:p w14:paraId="58B474F5" w14:textId="77777777" w:rsidR="00534159" w:rsidRDefault="00534159">
    <w:pPr>
      <w:pStyle w:val="Piedepgin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DB94F"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10</w:t>
    </w:r>
  </w:p>
  <w:p w14:paraId="46EB0828" w14:textId="77777777" w:rsidR="00534159" w:rsidRPr="00492483" w:rsidRDefault="00534159" w:rsidP="00BB0A30">
    <w:pPr>
      <w:pStyle w:val="Piedepgina"/>
      <w:rPr>
        <w:b/>
        <w:sz w:val="18"/>
        <w:szCs w:val="18"/>
      </w:rPr>
    </w:pPr>
    <w:r>
      <w:rPr>
        <w:b/>
        <w:sz w:val="18"/>
        <w:szCs w:val="18"/>
      </w:rPr>
      <w:t xml:space="preserve">Circular </w:t>
    </w:r>
    <w:proofErr w:type="gramStart"/>
    <w:r>
      <w:rPr>
        <w:b/>
        <w:sz w:val="18"/>
        <w:szCs w:val="18"/>
      </w:rPr>
      <w:t>Externa  018</w:t>
    </w:r>
    <w:proofErr w:type="gramEnd"/>
    <w:r>
      <w:rPr>
        <w:b/>
        <w:sz w:val="18"/>
        <w:szCs w:val="18"/>
      </w:rPr>
      <w:t xml:space="preserve">  de 2020                                                                                                     </w:t>
    </w:r>
    <w:proofErr w:type="gramStart"/>
    <w:r>
      <w:rPr>
        <w:b/>
        <w:sz w:val="18"/>
        <w:szCs w:val="18"/>
      </w:rPr>
      <w:t>Mayo</w:t>
    </w:r>
    <w:proofErr w:type="gramEnd"/>
    <w:r>
      <w:rPr>
        <w:b/>
        <w:sz w:val="18"/>
        <w:szCs w:val="18"/>
      </w:rPr>
      <w:t xml:space="preserve"> de 2020</w:t>
    </w:r>
  </w:p>
  <w:p w14:paraId="41A4B522" w14:textId="77777777" w:rsidR="00534159" w:rsidRDefault="00534159">
    <w:pPr>
      <w:pStyle w:val="Piedepgin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EDD"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10-1</w:t>
    </w:r>
  </w:p>
  <w:p w14:paraId="6845370A" w14:textId="77777777" w:rsidR="00534159" w:rsidRPr="00492483" w:rsidRDefault="00534159" w:rsidP="00BB0A30">
    <w:pPr>
      <w:pStyle w:val="Piedepgina"/>
      <w:rPr>
        <w:b/>
        <w:sz w:val="18"/>
        <w:szCs w:val="18"/>
      </w:rPr>
    </w:pPr>
    <w:r>
      <w:rPr>
        <w:b/>
        <w:sz w:val="18"/>
        <w:szCs w:val="18"/>
      </w:rPr>
      <w:t xml:space="preserve">Circular Externa 018 de 2020                                                                                                     </w:t>
    </w:r>
    <w:proofErr w:type="gramStart"/>
    <w:r>
      <w:rPr>
        <w:b/>
        <w:sz w:val="18"/>
        <w:szCs w:val="18"/>
      </w:rPr>
      <w:t>Mayo</w:t>
    </w:r>
    <w:proofErr w:type="gramEnd"/>
    <w:r>
      <w:rPr>
        <w:b/>
        <w:sz w:val="18"/>
        <w:szCs w:val="18"/>
      </w:rPr>
      <w:t xml:space="preserve"> de 2020</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E9CFE"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10-2</w:t>
    </w:r>
  </w:p>
  <w:p w14:paraId="78696A5A" w14:textId="77777777" w:rsidR="00534159" w:rsidRPr="00492483" w:rsidRDefault="00534159" w:rsidP="00BB0A30">
    <w:pPr>
      <w:pStyle w:val="Piedepgina"/>
      <w:rPr>
        <w:b/>
        <w:sz w:val="18"/>
        <w:szCs w:val="18"/>
      </w:rPr>
    </w:pPr>
    <w:r>
      <w:rPr>
        <w:b/>
        <w:sz w:val="18"/>
        <w:szCs w:val="18"/>
      </w:rPr>
      <w:t xml:space="preserve">Circular Externa 018 de 2020                                                                                                     </w:t>
    </w:r>
    <w:proofErr w:type="gramStart"/>
    <w:r>
      <w:rPr>
        <w:b/>
        <w:sz w:val="18"/>
        <w:szCs w:val="18"/>
      </w:rPr>
      <w:t>Mayo</w:t>
    </w:r>
    <w:proofErr w:type="gramEnd"/>
    <w:r>
      <w:rPr>
        <w:b/>
        <w:sz w:val="18"/>
        <w:szCs w:val="18"/>
      </w:rPr>
      <w:t xml:space="preserve"> de 2020</w:t>
    </w:r>
  </w:p>
  <w:p w14:paraId="7F21F3BB" w14:textId="77777777" w:rsidR="00534159" w:rsidRDefault="00534159">
    <w:pPr>
      <w:pStyle w:val="Piedepgin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2E5D1" w14:textId="77777777" w:rsidR="00534159" w:rsidRDefault="00534159" w:rsidP="00577AB4">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10-3</w:t>
    </w:r>
  </w:p>
  <w:p w14:paraId="5F1752DF" w14:textId="77777777" w:rsidR="00534159" w:rsidRPr="00492483" w:rsidRDefault="00534159" w:rsidP="00577AB4">
    <w:pPr>
      <w:pStyle w:val="Piedepgina"/>
      <w:rPr>
        <w:b/>
        <w:sz w:val="18"/>
        <w:szCs w:val="18"/>
      </w:rPr>
    </w:pPr>
    <w:r>
      <w:rPr>
        <w:b/>
        <w:sz w:val="18"/>
        <w:szCs w:val="18"/>
      </w:rPr>
      <w:t xml:space="preserve">Circular Externa </w:t>
    </w:r>
    <w:proofErr w:type="gramStart"/>
    <w:r>
      <w:rPr>
        <w:b/>
        <w:sz w:val="18"/>
        <w:szCs w:val="18"/>
      </w:rPr>
      <w:t>018  de</w:t>
    </w:r>
    <w:proofErr w:type="gramEnd"/>
    <w:r>
      <w:rPr>
        <w:b/>
        <w:sz w:val="18"/>
        <w:szCs w:val="18"/>
      </w:rPr>
      <w:t xml:space="preserve"> 2020                                                                                                     </w:t>
    </w:r>
    <w:proofErr w:type="gramStart"/>
    <w:r>
      <w:rPr>
        <w:b/>
        <w:sz w:val="18"/>
        <w:szCs w:val="18"/>
      </w:rPr>
      <w:t>Mayo</w:t>
    </w:r>
    <w:proofErr w:type="gramEnd"/>
    <w:r>
      <w:rPr>
        <w:b/>
        <w:sz w:val="18"/>
        <w:szCs w:val="18"/>
      </w:rPr>
      <w:t xml:space="preserve"> de 2020</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9AA0B" w14:textId="4412D0CA" w:rsidR="00022F1A" w:rsidRDefault="00022F1A" w:rsidP="00022F1A">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1</w:t>
    </w:r>
    <w:r w:rsidR="00077125">
      <w:rPr>
        <w:b/>
        <w:sz w:val="18"/>
        <w:szCs w:val="18"/>
      </w:rPr>
      <w:t>5</w:t>
    </w:r>
  </w:p>
  <w:p w14:paraId="44542EBA" w14:textId="77777777" w:rsidR="00E65E51" w:rsidRPr="00112228" w:rsidRDefault="00E65E51" w:rsidP="00E65E51">
    <w:pPr>
      <w:pStyle w:val="Piedepgina"/>
      <w:rPr>
        <w:b/>
        <w:sz w:val="18"/>
        <w:szCs w:val="18"/>
      </w:rPr>
    </w:pPr>
    <w:r>
      <w:rPr>
        <w:b/>
        <w:sz w:val="18"/>
        <w:szCs w:val="18"/>
      </w:rPr>
      <w:t xml:space="preserve">Circular Externa 036 de </w:t>
    </w:r>
    <w:r w:rsidRPr="00112228">
      <w:rPr>
        <w:b/>
        <w:sz w:val="18"/>
        <w:szCs w:val="18"/>
      </w:rPr>
      <w:t>20</w:t>
    </w:r>
    <w:r>
      <w:rPr>
        <w:b/>
        <w:sz w:val="18"/>
        <w:szCs w:val="18"/>
      </w:rPr>
      <w:t xml:space="preserve">20 </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2020</w:t>
    </w:r>
  </w:p>
  <w:p w14:paraId="2BEA6FF0" w14:textId="77777777" w:rsidR="00534159" w:rsidRDefault="00534159">
    <w:pPr>
      <w:pStyle w:val="Piedepgina"/>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B22D8" w14:textId="0A3F9DA2" w:rsidR="00534159" w:rsidRDefault="00534159" w:rsidP="00BB0A30">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8270B7">
      <w:rPr>
        <w:b/>
        <w:sz w:val="18"/>
        <w:szCs w:val="18"/>
      </w:rPr>
      <w:t>15</w:t>
    </w:r>
  </w:p>
  <w:p w14:paraId="58947A7B" w14:textId="77777777" w:rsidR="00534159" w:rsidRPr="00492483" w:rsidRDefault="00534159" w:rsidP="00BB0A30">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Noviembre</w:t>
    </w:r>
    <w:proofErr w:type="gramEnd"/>
    <w:r>
      <w:rPr>
        <w:b/>
        <w:sz w:val="18"/>
        <w:szCs w:val="18"/>
      </w:rPr>
      <w:t xml:space="preserve"> de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B705B" w14:textId="77777777" w:rsidR="003D3E9A" w:rsidRPr="00112228" w:rsidRDefault="003D3E9A" w:rsidP="00ED7DE5">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1-1</w:t>
    </w:r>
  </w:p>
  <w:p w14:paraId="49820303" w14:textId="77777777" w:rsidR="003D3E9A" w:rsidRPr="00112228" w:rsidRDefault="003D3E9A" w:rsidP="00ED7DE5">
    <w:pPr>
      <w:pStyle w:val="Piedepgina"/>
      <w:rPr>
        <w:b/>
        <w:sz w:val="18"/>
        <w:szCs w:val="18"/>
      </w:rPr>
    </w:pPr>
    <w:r>
      <w:rPr>
        <w:b/>
        <w:sz w:val="18"/>
        <w:szCs w:val="18"/>
      </w:rPr>
      <w:t xml:space="preserve">Circular Externa 027 de </w:t>
    </w:r>
    <w:r w:rsidRPr="00112228">
      <w:rPr>
        <w:b/>
        <w:sz w:val="18"/>
        <w:szCs w:val="18"/>
      </w:rPr>
      <w:t>20</w:t>
    </w:r>
    <w:r>
      <w:rPr>
        <w:b/>
        <w:sz w:val="18"/>
        <w:szCs w:val="18"/>
      </w:rPr>
      <w:t>22</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2022</w:t>
    </w:r>
  </w:p>
  <w:p w14:paraId="1BBA6D86" w14:textId="77777777" w:rsidR="003D3E9A" w:rsidRDefault="003D3E9A">
    <w:pPr>
      <w:pStyle w:val="Piedepgina"/>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9D0D8" w14:textId="19165B3A"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w:t>
    </w:r>
    <w:r w:rsidR="00D84C15">
      <w:rPr>
        <w:b/>
        <w:sz w:val="18"/>
        <w:szCs w:val="18"/>
      </w:rPr>
      <w:t>1</w:t>
    </w:r>
  </w:p>
  <w:p w14:paraId="084DC158" w14:textId="3AB02226" w:rsidR="00534159" w:rsidRPr="00112228" w:rsidRDefault="00534159" w:rsidP="00924F40">
    <w:pPr>
      <w:pStyle w:val="Piedepgina"/>
      <w:rPr>
        <w:b/>
        <w:sz w:val="18"/>
        <w:szCs w:val="18"/>
      </w:rPr>
    </w:pPr>
    <w:r>
      <w:rPr>
        <w:b/>
        <w:sz w:val="18"/>
        <w:szCs w:val="18"/>
      </w:rPr>
      <w:t>Circular Externa</w:t>
    </w:r>
    <w:r w:rsidR="00F27AE0">
      <w:rPr>
        <w:b/>
        <w:sz w:val="18"/>
        <w:szCs w:val="18"/>
      </w:rPr>
      <w:t xml:space="preserve"> </w:t>
    </w:r>
    <w:proofErr w:type="spellStart"/>
    <w:r w:rsidR="00F27AE0">
      <w:rPr>
        <w:b/>
        <w:sz w:val="18"/>
        <w:szCs w:val="18"/>
      </w:rPr>
      <w:t>xxxx</w:t>
    </w:r>
    <w:proofErr w:type="spellEnd"/>
    <w:r w:rsidR="00F27AE0">
      <w:rPr>
        <w:b/>
        <w:sz w:val="18"/>
        <w:szCs w:val="18"/>
      </w:rPr>
      <w:t xml:space="preserve"> de</w:t>
    </w:r>
    <w:r>
      <w:rPr>
        <w:b/>
        <w:sz w:val="18"/>
        <w:szCs w:val="18"/>
      </w:rPr>
      <w:t xml:space="preserve"> </w:t>
    </w:r>
    <w:r w:rsidRPr="00112228">
      <w:rPr>
        <w:b/>
        <w:sz w:val="18"/>
        <w:szCs w:val="18"/>
      </w:rPr>
      <w:t>20</w:t>
    </w:r>
    <w:r>
      <w:rPr>
        <w:b/>
        <w:sz w:val="18"/>
        <w:szCs w:val="18"/>
      </w:rPr>
      <w:t>2</w:t>
    </w:r>
    <w:r w:rsidR="00F27AE0">
      <w:rPr>
        <w:b/>
        <w:sz w:val="18"/>
        <w:szCs w:val="18"/>
      </w:rPr>
      <w:t>5</w:t>
    </w:r>
    <w:r>
      <w:rPr>
        <w:b/>
        <w:sz w:val="18"/>
        <w:szCs w:val="18"/>
      </w:rPr>
      <w:t xml:space="preserve"> </w:t>
    </w:r>
    <w:r w:rsidRPr="00112228">
      <w:rPr>
        <w:b/>
        <w:sz w:val="18"/>
        <w:szCs w:val="18"/>
      </w:rPr>
      <w:tab/>
      <w:t xml:space="preserve">                                                                        </w:t>
    </w:r>
    <w:r>
      <w:rPr>
        <w:b/>
        <w:sz w:val="18"/>
        <w:szCs w:val="18"/>
      </w:rPr>
      <w:t xml:space="preserve">                     </w:t>
    </w:r>
    <w:r w:rsidR="00F27AE0">
      <w:rPr>
        <w:b/>
        <w:sz w:val="18"/>
        <w:szCs w:val="18"/>
      </w:rPr>
      <w:t xml:space="preserve">                      </w:t>
    </w:r>
    <w:r>
      <w:rPr>
        <w:b/>
        <w:sz w:val="18"/>
        <w:szCs w:val="18"/>
      </w:rPr>
      <w:t xml:space="preserve"> 202</w:t>
    </w:r>
    <w:r w:rsidR="00F27AE0">
      <w:rPr>
        <w:b/>
        <w:sz w:val="18"/>
        <w:szCs w:val="18"/>
      </w:rPr>
      <w:t>5</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149A3" w14:textId="4EDACF47" w:rsidR="00F80F44" w:rsidRDefault="00F80F44" w:rsidP="00022F1A">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300BAC">
      <w:rPr>
        <w:b/>
        <w:sz w:val="18"/>
        <w:szCs w:val="18"/>
      </w:rPr>
      <w:t>3</w:t>
    </w:r>
    <w:r w:rsidR="005707BA">
      <w:rPr>
        <w:b/>
        <w:sz w:val="18"/>
        <w:szCs w:val="18"/>
      </w:rPr>
      <w:t>4</w:t>
    </w:r>
  </w:p>
  <w:p w14:paraId="09BD8C36" w14:textId="77777777" w:rsidR="00ED6E44" w:rsidRPr="00492483" w:rsidRDefault="00ED6E44" w:rsidP="00ED6E44">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p w14:paraId="5732A577" w14:textId="067808A1" w:rsidR="00F80F44" w:rsidRPr="00112228" w:rsidRDefault="00F80F44" w:rsidP="00E65E51">
    <w:pPr>
      <w:pStyle w:val="Piedepgina"/>
      <w:rPr>
        <w:b/>
        <w:sz w:val="18"/>
        <w:szCs w:val="18"/>
      </w:rPr>
    </w:pPr>
  </w:p>
  <w:p w14:paraId="4D02A95C" w14:textId="77777777" w:rsidR="00F80F44" w:rsidRDefault="00F80F44">
    <w:pPr>
      <w:pStyle w:val="Piedepgina"/>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F3DB" w14:textId="6A0A380A"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1</w:t>
    </w:r>
    <w:r w:rsidR="00923C01">
      <w:rPr>
        <w:b/>
        <w:sz w:val="18"/>
        <w:szCs w:val="18"/>
      </w:rPr>
      <w:t>6</w:t>
    </w:r>
  </w:p>
  <w:p w14:paraId="01DD06DB" w14:textId="2020216B" w:rsidR="00534159" w:rsidRPr="00492483" w:rsidRDefault="00534159" w:rsidP="00534159">
    <w:pPr>
      <w:pStyle w:val="Piedepgina"/>
      <w:rPr>
        <w:b/>
        <w:sz w:val="18"/>
        <w:szCs w:val="18"/>
      </w:rPr>
    </w:pPr>
    <w:r>
      <w:rPr>
        <w:b/>
        <w:sz w:val="18"/>
        <w:szCs w:val="18"/>
      </w:rPr>
      <w:t xml:space="preserve">Circular Externa </w:t>
    </w:r>
    <w:proofErr w:type="spellStart"/>
    <w:r w:rsidR="00CC78CD">
      <w:rPr>
        <w:b/>
        <w:sz w:val="18"/>
        <w:szCs w:val="18"/>
      </w:rPr>
      <w:t>xxx</w:t>
    </w:r>
    <w:proofErr w:type="spellEnd"/>
    <w:r>
      <w:rPr>
        <w:b/>
        <w:sz w:val="18"/>
        <w:szCs w:val="18"/>
      </w:rPr>
      <w:t xml:space="preserve"> de 202</w:t>
    </w:r>
    <w:r w:rsidR="00CC78CD">
      <w:rPr>
        <w:b/>
        <w:sz w:val="18"/>
        <w:szCs w:val="18"/>
      </w:rPr>
      <w:t>5</w:t>
    </w:r>
    <w:r>
      <w:rPr>
        <w:b/>
        <w:sz w:val="18"/>
        <w:szCs w:val="18"/>
      </w:rPr>
      <w:tab/>
      <w:t xml:space="preserve">                                                                                                        </w:t>
    </w:r>
    <w:r w:rsidR="00CC78CD">
      <w:rPr>
        <w:b/>
        <w:sz w:val="18"/>
        <w:szCs w:val="18"/>
      </w:rPr>
      <w:t xml:space="preserve">              </w:t>
    </w:r>
    <w:r>
      <w:rPr>
        <w:b/>
        <w:sz w:val="18"/>
        <w:szCs w:val="18"/>
      </w:rPr>
      <w:t>202</w:t>
    </w:r>
    <w:r w:rsidR="00CC78CD">
      <w:rPr>
        <w:b/>
        <w:sz w:val="18"/>
        <w:szCs w:val="18"/>
      </w:rPr>
      <w:t>5</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D9B53" w14:textId="77777777"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p>
  <w:p w14:paraId="4BFCAC9F" w14:textId="77777777" w:rsidR="00534159" w:rsidRPr="00112228" w:rsidRDefault="00534159"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71672" w14:textId="77777777" w:rsidR="00534159" w:rsidRDefault="00534159" w:rsidP="00D46A7D">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Pr="00BB0A30">
      <w:rPr>
        <w:b/>
        <w:sz w:val="18"/>
        <w:szCs w:val="18"/>
      </w:rPr>
      <w:fldChar w:fldCharType="begin"/>
    </w:r>
    <w:r w:rsidRPr="00BB0A30">
      <w:rPr>
        <w:b/>
        <w:sz w:val="18"/>
        <w:szCs w:val="18"/>
      </w:rPr>
      <w:instrText>PAGE   \* MERGEFORMAT</w:instrText>
    </w:r>
    <w:r w:rsidRPr="00BB0A30">
      <w:rPr>
        <w:b/>
        <w:sz w:val="18"/>
        <w:szCs w:val="18"/>
      </w:rPr>
      <w:fldChar w:fldCharType="separate"/>
    </w:r>
    <w:r>
      <w:rPr>
        <w:b/>
        <w:sz w:val="18"/>
        <w:szCs w:val="18"/>
      </w:rPr>
      <w:t>18</w:t>
    </w:r>
    <w:r w:rsidRPr="00BB0A30">
      <w:rPr>
        <w:b/>
        <w:sz w:val="18"/>
        <w:szCs w:val="18"/>
      </w:rPr>
      <w:fldChar w:fldCharType="end"/>
    </w:r>
  </w:p>
  <w:p w14:paraId="0F93E691" w14:textId="431D8079" w:rsidR="00534159" w:rsidRPr="00492483" w:rsidRDefault="00534159" w:rsidP="00534159">
    <w:pPr>
      <w:pStyle w:val="Piedepgina"/>
      <w:rPr>
        <w:b/>
        <w:sz w:val="18"/>
        <w:szCs w:val="18"/>
      </w:rPr>
    </w:pPr>
    <w:r>
      <w:rPr>
        <w:b/>
        <w:sz w:val="18"/>
        <w:szCs w:val="18"/>
      </w:rPr>
      <w:t xml:space="preserve">Circular Externa </w:t>
    </w:r>
    <w:proofErr w:type="spellStart"/>
    <w:r w:rsidR="00126DD7">
      <w:rPr>
        <w:b/>
        <w:sz w:val="18"/>
        <w:szCs w:val="18"/>
      </w:rPr>
      <w:t>xxx</w:t>
    </w:r>
    <w:proofErr w:type="spellEnd"/>
    <w:r>
      <w:rPr>
        <w:b/>
        <w:sz w:val="18"/>
        <w:szCs w:val="18"/>
      </w:rPr>
      <w:t xml:space="preserve"> de 20</w:t>
    </w:r>
    <w:r w:rsidR="00126DD7">
      <w:rPr>
        <w:b/>
        <w:sz w:val="18"/>
        <w:szCs w:val="18"/>
      </w:rPr>
      <w:t>25</w:t>
    </w:r>
    <w:r>
      <w:rPr>
        <w:b/>
        <w:sz w:val="18"/>
        <w:szCs w:val="18"/>
      </w:rPr>
      <w:tab/>
      <w:t xml:space="preserve">                                                                                            </w:t>
    </w:r>
    <w:r w:rsidR="00126DD7">
      <w:rPr>
        <w:b/>
        <w:sz w:val="18"/>
        <w:szCs w:val="18"/>
      </w:rPr>
      <w:t xml:space="preserve">                          </w:t>
    </w:r>
    <w:r>
      <w:rPr>
        <w:b/>
        <w:sz w:val="18"/>
        <w:szCs w:val="18"/>
      </w:rPr>
      <w:t xml:space="preserve"> 20</w:t>
    </w:r>
    <w:r w:rsidR="00126DD7">
      <w:rPr>
        <w:b/>
        <w:sz w:val="18"/>
        <w:szCs w:val="18"/>
      </w:rPr>
      <w:t>25</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7FEEB" w14:textId="32256C07" w:rsidR="00D626A3" w:rsidRDefault="00534159" w:rsidP="00D46A7D">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D626A3">
      <w:rPr>
        <w:b/>
        <w:sz w:val="18"/>
        <w:szCs w:val="18"/>
      </w:rPr>
      <w:t>17-1</w:t>
    </w:r>
  </w:p>
  <w:p w14:paraId="593D0DB6" w14:textId="138337E9" w:rsidR="00534159" w:rsidRPr="00492483" w:rsidRDefault="00534159" w:rsidP="00534159">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p w14:paraId="45366AB0" w14:textId="1643E1A7" w:rsidR="00534159" w:rsidRPr="00492483" w:rsidRDefault="00534159" w:rsidP="00D46A7D">
    <w:pPr>
      <w:pStyle w:val="Piedepgina"/>
      <w:rPr>
        <w:b/>
        <w:sz w:val="18"/>
        <w:szCs w:val="18"/>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8E3A4" w14:textId="70FB04D8" w:rsidR="009B06EA" w:rsidRDefault="009B06EA"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163103">
      <w:rPr>
        <w:b/>
        <w:sz w:val="18"/>
        <w:szCs w:val="18"/>
      </w:rPr>
      <w:t>2</w:t>
    </w:r>
    <w:r w:rsidR="001461CD">
      <w:rPr>
        <w:b/>
        <w:sz w:val="18"/>
        <w:szCs w:val="18"/>
      </w:rPr>
      <w:t>5-10</w:t>
    </w:r>
  </w:p>
  <w:p w14:paraId="3301E877" w14:textId="4BAAE22F" w:rsidR="009B06EA" w:rsidRPr="00492483" w:rsidRDefault="008F1525" w:rsidP="008F1525">
    <w:pPr>
      <w:pStyle w:val="Piedepgina"/>
      <w:rPr>
        <w:b/>
        <w:sz w:val="18"/>
        <w:szCs w:val="18"/>
      </w:rPr>
    </w:pPr>
    <w:r>
      <w:rPr>
        <w:b/>
        <w:sz w:val="18"/>
        <w:szCs w:val="18"/>
      </w:rPr>
      <w:t xml:space="preserve">Circular Externa 022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w:t>
    </w:r>
    <w:proofErr w:type="gramStart"/>
    <w:r>
      <w:rPr>
        <w:b/>
        <w:sz w:val="18"/>
        <w:szCs w:val="18"/>
      </w:rPr>
      <w:t>Agosto</w:t>
    </w:r>
    <w:proofErr w:type="gramEnd"/>
    <w:r>
      <w:rPr>
        <w:b/>
        <w:sz w:val="18"/>
        <w:szCs w:val="18"/>
      </w:rPr>
      <w:t xml:space="preserve"> de 2022</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97EC" w14:textId="77777777" w:rsidR="00FB26D3" w:rsidRPr="00112228" w:rsidRDefault="00FB26D3" w:rsidP="00FB26D3">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w:t>
    </w:r>
    <w:r w:rsidRPr="00301F39">
      <w:rPr>
        <w:b/>
        <w:sz w:val="18"/>
        <w:szCs w:val="18"/>
      </w:rPr>
      <w:t>PÁGINA 20</w:t>
    </w:r>
  </w:p>
  <w:p w14:paraId="2869F341" w14:textId="77777777" w:rsidR="00FB26D3" w:rsidRPr="00112228" w:rsidRDefault="00FB26D3" w:rsidP="00FB26D3">
    <w:pPr>
      <w:pStyle w:val="Piedepgina"/>
      <w:rPr>
        <w:b/>
        <w:bCs/>
        <w:sz w:val="18"/>
        <w:szCs w:val="18"/>
        <w:lang w:val="es-ES"/>
      </w:rPr>
    </w:pPr>
    <w:r w:rsidRPr="082779C5">
      <w:rPr>
        <w:b/>
        <w:bCs/>
        <w:sz w:val="18"/>
        <w:szCs w:val="18"/>
        <w:lang w:val="es-ES"/>
      </w:rPr>
      <w:t>Circular Externa</w:t>
    </w:r>
    <w:r>
      <w:rPr>
        <w:b/>
        <w:bCs/>
        <w:sz w:val="18"/>
        <w:szCs w:val="18"/>
        <w:lang w:val="es-ES"/>
      </w:rPr>
      <w:t xml:space="preserve"> 013 </w:t>
    </w:r>
    <w:r w:rsidRPr="082779C5">
      <w:rPr>
        <w:b/>
        <w:bCs/>
        <w:sz w:val="18"/>
        <w:szCs w:val="18"/>
        <w:lang w:val="es-ES"/>
      </w:rPr>
      <w:t xml:space="preserve">de 2024 </w:t>
    </w:r>
    <w:r>
      <w:tab/>
    </w:r>
    <w:r w:rsidRPr="082779C5">
      <w:rPr>
        <w:b/>
        <w:bCs/>
        <w:sz w:val="18"/>
        <w:szCs w:val="18"/>
        <w:lang w:val="es-ES"/>
      </w:rPr>
      <w:t xml:space="preserve">     </w:t>
    </w:r>
    <w:r>
      <w:rPr>
        <w:b/>
        <w:bCs/>
        <w:sz w:val="18"/>
        <w:szCs w:val="18"/>
        <w:lang w:val="es-ES"/>
      </w:rPr>
      <w:t xml:space="preserve"> </w:t>
    </w:r>
    <w:r w:rsidRPr="082779C5">
      <w:rPr>
        <w:b/>
        <w:bCs/>
        <w:sz w:val="18"/>
        <w:szCs w:val="18"/>
        <w:lang w:val="es-ES"/>
      </w:rPr>
      <w:t xml:space="preserve">                                                                                      </w:t>
    </w:r>
    <w:proofErr w:type="gramStart"/>
    <w:r w:rsidRPr="082779C5">
      <w:rPr>
        <w:b/>
        <w:bCs/>
        <w:sz w:val="18"/>
        <w:szCs w:val="18"/>
        <w:lang w:val="es-ES"/>
      </w:rPr>
      <w:t>Septiembre</w:t>
    </w:r>
    <w:proofErr w:type="gramEnd"/>
    <w:r w:rsidRPr="082779C5">
      <w:rPr>
        <w:b/>
        <w:bCs/>
        <w:sz w:val="18"/>
        <w:szCs w:val="18"/>
        <w:lang w:val="es-ES"/>
      </w:rPr>
      <w:t xml:space="preserve"> de 2024</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22DA" w14:textId="77777777" w:rsidR="009B06EA" w:rsidRPr="00112228" w:rsidRDefault="009B06EA" w:rsidP="009B06EA">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20-1</w:t>
    </w:r>
  </w:p>
  <w:p w14:paraId="23781762" w14:textId="5C37BDA0" w:rsidR="009B06EA" w:rsidRPr="009B06EA" w:rsidRDefault="009B06EA" w:rsidP="009B06EA">
    <w:pPr>
      <w:pStyle w:val="Piedepgina"/>
    </w:pPr>
    <w:r>
      <w:rPr>
        <w:b/>
        <w:sz w:val="18"/>
        <w:szCs w:val="18"/>
      </w:rPr>
      <w:t xml:space="preserve">Circular Externa 007 de </w:t>
    </w:r>
    <w:r w:rsidRPr="00112228">
      <w:rPr>
        <w:b/>
        <w:sz w:val="18"/>
        <w:szCs w:val="18"/>
      </w:rPr>
      <w:t>20</w:t>
    </w:r>
    <w:r>
      <w:rPr>
        <w:b/>
        <w:sz w:val="18"/>
        <w:szCs w:val="18"/>
      </w:rPr>
      <w:t xml:space="preserve">23 </w:t>
    </w:r>
    <w:r w:rsidRPr="00112228">
      <w:rPr>
        <w:b/>
        <w:sz w:val="18"/>
        <w:szCs w:val="18"/>
      </w:rPr>
      <w:tab/>
      <w:t xml:space="preserve">                                                                        </w:t>
    </w:r>
    <w:r>
      <w:rPr>
        <w:b/>
        <w:sz w:val="18"/>
        <w:szCs w:val="18"/>
      </w:rPr>
      <w:t xml:space="preserve">                               </w:t>
    </w:r>
    <w:proofErr w:type="gramStart"/>
    <w:r>
      <w:rPr>
        <w:b/>
        <w:sz w:val="18"/>
        <w:szCs w:val="18"/>
      </w:rPr>
      <w:t>Mayo</w:t>
    </w:r>
    <w:proofErr w:type="gramEnd"/>
    <w:r>
      <w:rPr>
        <w:b/>
        <w:sz w:val="18"/>
        <w:szCs w:val="18"/>
      </w:rPr>
      <w:t xml:space="preserve"> de 2023</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AF095" w14:textId="77777777" w:rsidR="009B06EA" w:rsidRDefault="009B06EA" w:rsidP="00D46A7D">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Pr="00BB0A30">
      <w:rPr>
        <w:b/>
        <w:sz w:val="18"/>
        <w:szCs w:val="18"/>
      </w:rPr>
      <w:fldChar w:fldCharType="begin"/>
    </w:r>
    <w:r w:rsidRPr="00BB0A30">
      <w:rPr>
        <w:b/>
        <w:sz w:val="18"/>
        <w:szCs w:val="18"/>
      </w:rPr>
      <w:instrText>PAGE   \* MERGEFORMAT</w:instrText>
    </w:r>
    <w:r w:rsidRPr="00BB0A30">
      <w:rPr>
        <w:b/>
        <w:sz w:val="18"/>
        <w:szCs w:val="18"/>
      </w:rPr>
      <w:fldChar w:fldCharType="separate"/>
    </w:r>
    <w:r>
      <w:rPr>
        <w:b/>
        <w:sz w:val="18"/>
        <w:szCs w:val="18"/>
      </w:rPr>
      <w:t>18</w:t>
    </w:r>
    <w:r w:rsidRPr="00BB0A30">
      <w:rPr>
        <w:b/>
        <w:sz w:val="18"/>
        <w:szCs w:val="18"/>
      </w:rPr>
      <w:fldChar w:fldCharType="end"/>
    </w:r>
  </w:p>
  <w:p w14:paraId="3EFC7AD1" w14:textId="77777777" w:rsidR="009B06EA" w:rsidRPr="00492483" w:rsidRDefault="009B06EA" w:rsidP="00534159">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p w14:paraId="770072F9" w14:textId="77777777" w:rsidR="009B06EA" w:rsidRPr="00492483" w:rsidRDefault="009B06EA" w:rsidP="00D46A7D">
    <w:pPr>
      <w:pStyle w:val="Piedepgina"/>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2B45D" w14:textId="77777777" w:rsidR="003D3E9A" w:rsidRPr="00112228" w:rsidRDefault="003D3E9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1-1</w:t>
    </w:r>
  </w:p>
  <w:p w14:paraId="6F3E3E41" w14:textId="77777777" w:rsidR="003D3E9A" w:rsidRPr="00112228" w:rsidRDefault="003D3E9A" w:rsidP="00924F40">
    <w:pPr>
      <w:pStyle w:val="Piedepgina"/>
      <w:rPr>
        <w:b/>
        <w:sz w:val="18"/>
        <w:szCs w:val="18"/>
      </w:rPr>
    </w:pPr>
    <w:r>
      <w:rPr>
        <w:b/>
        <w:sz w:val="18"/>
        <w:szCs w:val="18"/>
      </w:rPr>
      <w:t xml:space="preserve">Circular Externa        de </w:t>
    </w:r>
    <w:r w:rsidRPr="00112228">
      <w:rPr>
        <w:b/>
        <w:sz w:val="18"/>
        <w:szCs w:val="18"/>
      </w:rPr>
      <w:t>20</w:t>
    </w:r>
    <w:r>
      <w:rPr>
        <w:b/>
        <w:sz w:val="18"/>
        <w:szCs w:val="18"/>
      </w:rPr>
      <w:t>22</w:t>
    </w:r>
    <w:r w:rsidRPr="00112228">
      <w:rPr>
        <w:b/>
        <w:sz w:val="18"/>
        <w:szCs w:val="18"/>
      </w:rPr>
      <w:tab/>
      <w:t xml:space="preserve">                                                                        </w:t>
    </w:r>
    <w:r>
      <w:rPr>
        <w:b/>
        <w:sz w:val="18"/>
        <w:szCs w:val="18"/>
      </w:rPr>
      <w:t xml:space="preserve">                           XXXXXX de 2022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FF2A" w14:textId="5753F4B3" w:rsidR="001770B4" w:rsidRPr="00112228" w:rsidRDefault="001770B4"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p>
  <w:p w14:paraId="54EBB045" w14:textId="52A01305" w:rsidR="001770B4" w:rsidRPr="00112228" w:rsidRDefault="001770B4" w:rsidP="00924F40">
    <w:pPr>
      <w:pStyle w:val="Piedepgina"/>
      <w:rPr>
        <w:b/>
        <w:sz w:val="18"/>
        <w:szCs w:val="18"/>
      </w:rPr>
    </w:pPr>
    <w:r>
      <w:rPr>
        <w:b/>
        <w:sz w:val="18"/>
        <w:szCs w:val="18"/>
      </w:rPr>
      <w:t xml:space="preserve">Circular Externa </w:t>
    </w:r>
    <w:proofErr w:type="spellStart"/>
    <w:r w:rsidR="00BA6B36">
      <w:rPr>
        <w:b/>
        <w:sz w:val="18"/>
        <w:szCs w:val="18"/>
      </w:rPr>
      <w:t>xxx</w:t>
    </w:r>
    <w:proofErr w:type="spellEnd"/>
    <w:r>
      <w:rPr>
        <w:b/>
        <w:sz w:val="18"/>
        <w:szCs w:val="18"/>
      </w:rPr>
      <w:t xml:space="preserve"> de </w:t>
    </w:r>
    <w:r w:rsidRPr="00112228">
      <w:rPr>
        <w:b/>
        <w:sz w:val="18"/>
        <w:szCs w:val="18"/>
      </w:rPr>
      <w:t>20</w:t>
    </w:r>
    <w:r>
      <w:rPr>
        <w:b/>
        <w:sz w:val="18"/>
        <w:szCs w:val="18"/>
      </w:rPr>
      <w:t>2</w:t>
    </w:r>
    <w:r w:rsidR="00BA6B36">
      <w:rPr>
        <w:b/>
        <w:sz w:val="18"/>
        <w:szCs w:val="18"/>
      </w:rPr>
      <w:t>5</w:t>
    </w:r>
    <w:r>
      <w:rPr>
        <w:b/>
        <w:sz w:val="18"/>
        <w:szCs w:val="18"/>
      </w:rPr>
      <w:t xml:space="preserve">            </w:t>
    </w:r>
    <w:r w:rsidRPr="00112228">
      <w:rPr>
        <w:b/>
        <w:sz w:val="18"/>
        <w:szCs w:val="18"/>
      </w:rPr>
      <w:tab/>
      <w:t xml:space="preserve">                                                                        </w:t>
    </w:r>
    <w:r>
      <w:rPr>
        <w:b/>
        <w:sz w:val="18"/>
        <w:szCs w:val="18"/>
      </w:rPr>
      <w:t xml:space="preserve">              </w:t>
    </w:r>
    <w:r w:rsidR="00BA6B36">
      <w:rPr>
        <w:b/>
        <w:sz w:val="18"/>
        <w:szCs w:val="18"/>
      </w:rPr>
      <w:t xml:space="preserve">                     </w:t>
    </w:r>
    <w:r>
      <w:rPr>
        <w:b/>
        <w:sz w:val="18"/>
        <w:szCs w:val="18"/>
      </w:rPr>
      <w:t>202</w:t>
    </w:r>
    <w:r w:rsidR="00BA6B36">
      <w:rPr>
        <w:b/>
        <w:sz w:val="18"/>
        <w:szCs w:val="18"/>
      </w:rPr>
      <w:t>5</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BD2C5" w14:textId="10D7137F" w:rsidR="001770B4" w:rsidRPr="00112228" w:rsidRDefault="001770B4"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25 - </w:t>
    </w:r>
    <w:r w:rsidR="002937A6">
      <w:rPr>
        <w:b/>
        <w:sz w:val="18"/>
        <w:szCs w:val="18"/>
      </w:rPr>
      <w:t>7</w:t>
    </w:r>
  </w:p>
  <w:p w14:paraId="1001A55D" w14:textId="27E95768" w:rsidR="001770B4" w:rsidRPr="00112228" w:rsidRDefault="00BA6B36" w:rsidP="00BA6B36">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8F985" w14:textId="650D5469" w:rsidR="00D004DE" w:rsidRDefault="00D004DE" w:rsidP="00D004DE">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A80799">
      <w:rPr>
        <w:b/>
        <w:sz w:val="18"/>
        <w:szCs w:val="18"/>
      </w:rPr>
      <w:t>28</w:t>
    </w:r>
  </w:p>
  <w:p w14:paraId="36C92674" w14:textId="77777777" w:rsidR="00D004DE" w:rsidRPr="00492483" w:rsidRDefault="00D004DE" w:rsidP="00D004DE">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C8761" w14:textId="74C3CED2" w:rsidR="00C45653" w:rsidRDefault="00C45653" w:rsidP="00D46A7D">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765E96">
      <w:rPr>
        <w:b/>
        <w:sz w:val="18"/>
        <w:szCs w:val="18"/>
      </w:rPr>
      <w:t>25-11</w:t>
    </w:r>
  </w:p>
  <w:p w14:paraId="256BB312" w14:textId="77777777" w:rsidR="00BA6B36" w:rsidRPr="00492483" w:rsidRDefault="00BA6B36" w:rsidP="00BA6B36">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p w14:paraId="6CD1406B" w14:textId="77777777" w:rsidR="00C45653" w:rsidRPr="00492483" w:rsidRDefault="00C45653" w:rsidP="00D46A7D">
    <w:pPr>
      <w:pStyle w:val="Piedepgina"/>
      <w:rPr>
        <w:b/>
        <w:sz w:val="18"/>
        <w:szCs w:val="18"/>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F933B" w14:textId="2ECAE5DD" w:rsidR="003D3E9A" w:rsidRDefault="003D3E9A" w:rsidP="003D3E9A">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28</w:t>
    </w:r>
  </w:p>
  <w:p w14:paraId="68802FDF" w14:textId="4E1D5B0C" w:rsidR="003D3E9A" w:rsidRPr="00492483" w:rsidRDefault="003C19BE" w:rsidP="003C19BE">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D4486"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w:t>
    </w:r>
  </w:p>
  <w:p w14:paraId="02219799" w14:textId="77777777" w:rsidR="003C19BE" w:rsidRPr="00492483" w:rsidRDefault="003C19BE" w:rsidP="003C19BE">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p w14:paraId="509AAAC3" w14:textId="2BD0BE4F" w:rsidR="00534159" w:rsidRPr="00492483" w:rsidRDefault="00534159" w:rsidP="003C19BE">
    <w:pPr>
      <w:pStyle w:val="Piedepgina"/>
      <w:rPr>
        <w:b/>
        <w:sz w:val="18"/>
        <w:szCs w:val="18"/>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9B826"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29 - 1</w:t>
    </w:r>
  </w:p>
  <w:p w14:paraId="40DA3065" w14:textId="77777777" w:rsidR="00534159" w:rsidRPr="00492483" w:rsidRDefault="00534159" w:rsidP="007656FF">
    <w:pPr>
      <w:pStyle w:val="Piedepgina"/>
      <w:rPr>
        <w:b/>
        <w:sz w:val="18"/>
        <w:szCs w:val="18"/>
      </w:rPr>
    </w:pPr>
    <w:r>
      <w:rPr>
        <w:b/>
        <w:sz w:val="18"/>
        <w:szCs w:val="18"/>
      </w:rPr>
      <w:t>Circular Externa 036 de 2020</w:t>
    </w:r>
    <w:r>
      <w:rPr>
        <w:b/>
        <w:sz w:val="18"/>
        <w:szCs w:val="18"/>
      </w:rPr>
      <w:tab/>
      <w:t xml:space="preserve">                                                                                              </w:t>
    </w:r>
    <w:proofErr w:type="gramStart"/>
    <w:r>
      <w:rPr>
        <w:b/>
        <w:sz w:val="18"/>
        <w:szCs w:val="18"/>
      </w:rPr>
      <w:t>Diciembre</w:t>
    </w:r>
    <w:proofErr w:type="gramEnd"/>
    <w:r>
      <w:rPr>
        <w:b/>
        <w:sz w:val="18"/>
        <w:szCs w:val="18"/>
      </w:rPr>
      <w:t xml:space="preserve"> de 2020</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5AD35"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29 - 2</w:t>
    </w:r>
  </w:p>
  <w:p w14:paraId="4562CB21" w14:textId="77777777" w:rsidR="00534159" w:rsidRPr="00492483" w:rsidRDefault="00534159" w:rsidP="007656FF">
    <w:pPr>
      <w:pStyle w:val="Piedepgina"/>
      <w:rPr>
        <w:b/>
        <w:sz w:val="18"/>
        <w:szCs w:val="18"/>
      </w:rPr>
    </w:pPr>
    <w:r>
      <w:rPr>
        <w:b/>
        <w:sz w:val="18"/>
        <w:szCs w:val="18"/>
      </w:rPr>
      <w:t xml:space="preserve">Circular Externa </w:t>
    </w:r>
    <w:proofErr w:type="gramStart"/>
    <w:r>
      <w:rPr>
        <w:b/>
        <w:sz w:val="18"/>
        <w:szCs w:val="18"/>
      </w:rPr>
      <w:t>036  de</w:t>
    </w:r>
    <w:proofErr w:type="gramEnd"/>
    <w:r>
      <w:rPr>
        <w:b/>
        <w:sz w:val="18"/>
        <w:szCs w:val="18"/>
      </w:rPr>
      <w:t xml:space="preserve"> 2020</w:t>
    </w:r>
    <w:r>
      <w:rPr>
        <w:b/>
        <w:sz w:val="18"/>
        <w:szCs w:val="18"/>
      </w:rPr>
      <w:tab/>
      <w:t xml:space="preserve">                                                                                              </w:t>
    </w:r>
    <w:proofErr w:type="gramStart"/>
    <w:r>
      <w:rPr>
        <w:b/>
        <w:sz w:val="18"/>
        <w:szCs w:val="18"/>
      </w:rPr>
      <w:t>Diciembre</w:t>
    </w:r>
    <w:proofErr w:type="gramEnd"/>
    <w:r>
      <w:rPr>
        <w:b/>
        <w:sz w:val="18"/>
        <w:szCs w:val="18"/>
      </w:rPr>
      <w:t xml:space="preserve"> de 2020</w: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4FA5" w14:textId="77777777" w:rsidR="00534159" w:rsidRDefault="00534159" w:rsidP="00A35509">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29 - 3</w:t>
    </w:r>
  </w:p>
  <w:p w14:paraId="6F513432" w14:textId="77777777" w:rsidR="00534159" w:rsidRPr="00492483" w:rsidRDefault="00534159" w:rsidP="00A35509">
    <w:pPr>
      <w:pStyle w:val="Piedepgina"/>
      <w:rPr>
        <w:b/>
        <w:sz w:val="18"/>
        <w:szCs w:val="18"/>
      </w:rPr>
    </w:pPr>
    <w:r>
      <w:rPr>
        <w:b/>
        <w:sz w:val="18"/>
        <w:szCs w:val="18"/>
      </w:rPr>
      <w:t xml:space="preserve">Circular </w:t>
    </w:r>
    <w:proofErr w:type="gramStart"/>
    <w:r>
      <w:rPr>
        <w:b/>
        <w:sz w:val="18"/>
        <w:szCs w:val="18"/>
      </w:rPr>
      <w:t>Externa  036</w:t>
    </w:r>
    <w:proofErr w:type="gramEnd"/>
    <w:r>
      <w:rPr>
        <w:b/>
        <w:sz w:val="18"/>
        <w:szCs w:val="18"/>
      </w:rPr>
      <w:t xml:space="preserve">  de 2020</w:t>
    </w:r>
    <w:r>
      <w:rPr>
        <w:b/>
        <w:sz w:val="18"/>
        <w:szCs w:val="18"/>
      </w:rPr>
      <w:tab/>
      <w:t xml:space="preserve">                                                                                              </w:t>
    </w:r>
    <w:proofErr w:type="gramStart"/>
    <w:r>
      <w:rPr>
        <w:b/>
        <w:sz w:val="18"/>
        <w:szCs w:val="18"/>
      </w:rPr>
      <w:t>Diciembre</w:t>
    </w:r>
    <w:proofErr w:type="gramEnd"/>
    <w:r>
      <w:rPr>
        <w:b/>
        <w:sz w:val="18"/>
        <w:szCs w:val="18"/>
      </w:rPr>
      <w:t xml:space="preserve"> de 2020</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F2FA8" w14:textId="77777777" w:rsidR="00F17D60" w:rsidRDefault="00F17D60" w:rsidP="00F17D60">
    <w:pPr>
      <w:pStyle w:val="Piedepgina"/>
      <w:tabs>
        <w:tab w:val="clear" w:pos="8504"/>
        <w:tab w:val="right" w:pos="8789"/>
      </w:tabs>
      <w:rPr>
        <w:b/>
        <w:sz w:val="18"/>
        <w:szCs w:val="18"/>
      </w:rPr>
    </w:pPr>
    <w:r w:rsidRPr="00492483">
      <w:rPr>
        <w:b/>
        <w:sz w:val="18"/>
        <w:szCs w:val="18"/>
      </w:rPr>
      <w:t xml:space="preserve">PARTE II TÍTULO IV CAPÍTULO </w:t>
    </w:r>
    <w:r>
      <w:rPr>
        <w:b/>
        <w:sz w:val="18"/>
        <w:szCs w:val="18"/>
      </w:rPr>
      <w:t>II</w:t>
    </w:r>
    <w:r>
      <w:rPr>
        <w:b/>
        <w:sz w:val="18"/>
        <w:szCs w:val="18"/>
      </w:rPr>
      <w:tab/>
    </w:r>
    <w:r>
      <w:rPr>
        <w:b/>
        <w:sz w:val="18"/>
        <w:szCs w:val="18"/>
      </w:rPr>
      <w:tab/>
      <w:t xml:space="preserve">   PÁGINA 30</w:t>
    </w:r>
  </w:p>
  <w:p w14:paraId="5EF447E0" w14:textId="77777777" w:rsidR="00F17D60" w:rsidRPr="00492483" w:rsidRDefault="00F17D60" w:rsidP="00F17D60">
    <w:pPr>
      <w:pStyle w:val="Piedepgina"/>
      <w:rPr>
        <w:b/>
        <w:sz w:val="18"/>
        <w:szCs w:val="18"/>
      </w:rPr>
    </w:pPr>
    <w:r>
      <w:rPr>
        <w:b/>
        <w:sz w:val="18"/>
        <w:szCs w:val="18"/>
      </w:rPr>
      <w:t xml:space="preserve">Circular </w:t>
    </w:r>
    <w:proofErr w:type="gramStart"/>
    <w:r>
      <w:rPr>
        <w:b/>
        <w:sz w:val="18"/>
        <w:szCs w:val="18"/>
      </w:rPr>
      <w:t>Externa  028</w:t>
    </w:r>
    <w:proofErr w:type="gramEnd"/>
    <w:r>
      <w:rPr>
        <w:b/>
        <w:sz w:val="18"/>
        <w:szCs w:val="18"/>
      </w:rPr>
      <w:t xml:space="preserve"> de 2021                                                                                               </w:t>
    </w:r>
    <w:proofErr w:type="gramStart"/>
    <w:r>
      <w:rPr>
        <w:b/>
        <w:sz w:val="18"/>
        <w:szCs w:val="18"/>
      </w:rPr>
      <w:t>Diciembre</w:t>
    </w:r>
    <w:proofErr w:type="gramEnd"/>
    <w:r>
      <w:rPr>
        <w:b/>
        <w:sz w:val="18"/>
        <w:szCs w:val="18"/>
      </w:rPr>
      <w:t xml:space="preserve"> de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DF842"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fldChar w:fldCharType="begin"/>
    </w:r>
    <w:r>
      <w:rPr>
        <w:b/>
        <w:sz w:val="18"/>
        <w:szCs w:val="18"/>
      </w:rPr>
      <w:instrText xml:space="preserve"> PAGE  \* Arabic  \* MERGEFORMAT </w:instrText>
    </w:r>
    <w:r>
      <w:rPr>
        <w:b/>
        <w:sz w:val="18"/>
        <w:szCs w:val="18"/>
      </w:rPr>
      <w:fldChar w:fldCharType="separate"/>
    </w:r>
    <w:r>
      <w:rPr>
        <w:b/>
        <w:noProof/>
        <w:sz w:val="18"/>
        <w:szCs w:val="18"/>
      </w:rPr>
      <w:t>10</w:t>
    </w:r>
    <w:r>
      <w:rPr>
        <w:b/>
        <w:sz w:val="18"/>
        <w:szCs w:val="18"/>
      </w:rPr>
      <w:fldChar w:fldCharType="end"/>
    </w:r>
  </w:p>
  <w:p w14:paraId="28B9F1D7" w14:textId="77777777" w:rsidR="00534159" w:rsidRPr="00492483" w:rsidRDefault="00534159" w:rsidP="007656FF">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0347"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PÁGINA 30-1</w:t>
    </w:r>
  </w:p>
  <w:p w14:paraId="2CDFA8CA" w14:textId="77777777" w:rsidR="00534159" w:rsidRPr="00492483" w:rsidRDefault="00534159" w:rsidP="00BB0A30">
    <w:pPr>
      <w:pStyle w:val="Piedepgina"/>
      <w:tabs>
        <w:tab w:val="clear" w:pos="8504"/>
        <w:tab w:val="right" w:pos="8789"/>
      </w:tabs>
      <w:rPr>
        <w:b/>
        <w:sz w:val="18"/>
        <w:szCs w:val="18"/>
      </w:rPr>
    </w:pPr>
    <w:r>
      <w:rPr>
        <w:b/>
        <w:sz w:val="18"/>
        <w:szCs w:val="18"/>
      </w:rPr>
      <w:t>Circular Externa 006 de 2018</w:t>
    </w:r>
    <w:r>
      <w:rPr>
        <w:b/>
        <w:sz w:val="18"/>
        <w:szCs w:val="18"/>
      </w:rPr>
      <w:tab/>
    </w:r>
    <w:r>
      <w:rPr>
        <w:b/>
        <w:sz w:val="18"/>
        <w:szCs w:val="18"/>
      </w:rPr>
      <w:tab/>
    </w:r>
    <w:proofErr w:type="gramStart"/>
    <w:r>
      <w:rPr>
        <w:b/>
        <w:sz w:val="18"/>
        <w:szCs w:val="18"/>
      </w:rPr>
      <w:t>Abril</w:t>
    </w:r>
    <w:proofErr w:type="gramEnd"/>
    <w:r>
      <w:rPr>
        <w:b/>
        <w:sz w:val="18"/>
        <w:szCs w:val="18"/>
      </w:rPr>
      <w:t xml:space="preserve"> de 2018</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1EA9" w14:textId="77777777" w:rsidR="00534159" w:rsidRDefault="00534159" w:rsidP="00BB0A30">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PÁGINA 30-2</w:t>
    </w:r>
  </w:p>
  <w:p w14:paraId="735FF94E" w14:textId="77777777" w:rsidR="00534159" w:rsidRPr="00492483" w:rsidRDefault="00534159" w:rsidP="00BB0A30">
    <w:pPr>
      <w:pStyle w:val="Piedepgina"/>
      <w:tabs>
        <w:tab w:val="clear" w:pos="8504"/>
        <w:tab w:val="right" w:pos="8789"/>
      </w:tabs>
      <w:rPr>
        <w:b/>
        <w:sz w:val="18"/>
        <w:szCs w:val="18"/>
      </w:rPr>
    </w:pPr>
    <w:r>
      <w:rPr>
        <w:b/>
        <w:sz w:val="18"/>
        <w:szCs w:val="18"/>
      </w:rPr>
      <w:t>Circular Externa 006 de 2018</w:t>
    </w:r>
    <w:r>
      <w:rPr>
        <w:b/>
        <w:sz w:val="18"/>
        <w:szCs w:val="18"/>
      </w:rPr>
      <w:tab/>
    </w:r>
    <w:r>
      <w:rPr>
        <w:b/>
        <w:sz w:val="18"/>
        <w:szCs w:val="18"/>
      </w:rPr>
      <w:tab/>
    </w:r>
    <w:proofErr w:type="gramStart"/>
    <w:r>
      <w:rPr>
        <w:b/>
        <w:sz w:val="18"/>
        <w:szCs w:val="18"/>
      </w:rPr>
      <w:t>Abril</w:t>
    </w:r>
    <w:proofErr w:type="gramEnd"/>
    <w:r>
      <w:rPr>
        <w:b/>
        <w:sz w:val="18"/>
        <w:szCs w:val="18"/>
      </w:rPr>
      <w:t xml:space="preserve"> de 2018</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BFFCE" w14:textId="77777777" w:rsidR="00ED0B1D" w:rsidRDefault="00ED0B1D" w:rsidP="00ED0B1D">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30-3</w:t>
    </w:r>
  </w:p>
  <w:p w14:paraId="33B14712" w14:textId="77777777" w:rsidR="00ED0B1D" w:rsidRPr="00492483" w:rsidRDefault="00ED0B1D" w:rsidP="00ED0B1D">
    <w:pPr>
      <w:pStyle w:val="Piedepgina"/>
      <w:rPr>
        <w:b/>
        <w:sz w:val="18"/>
        <w:szCs w:val="18"/>
      </w:rPr>
    </w:pPr>
    <w:r>
      <w:rPr>
        <w:b/>
        <w:sz w:val="18"/>
        <w:szCs w:val="18"/>
      </w:rPr>
      <w:t>Circular Externa 008 de 2021</w:t>
    </w:r>
    <w:r>
      <w:rPr>
        <w:b/>
        <w:sz w:val="18"/>
        <w:szCs w:val="18"/>
      </w:rPr>
      <w:tab/>
      <w:t xml:space="preserve">                                                                                                       </w:t>
    </w:r>
    <w:proofErr w:type="gramStart"/>
    <w:r>
      <w:rPr>
        <w:b/>
        <w:sz w:val="18"/>
        <w:szCs w:val="18"/>
      </w:rPr>
      <w:t>Mayo</w:t>
    </w:r>
    <w:proofErr w:type="gramEnd"/>
    <w:r>
      <w:rPr>
        <w:b/>
        <w:sz w:val="18"/>
        <w:szCs w:val="18"/>
      </w:rPr>
      <w:t xml:space="preserve"> de 2021</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A8C3F" w14:textId="713C3FF4" w:rsidR="003031DD" w:rsidRDefault="003031DD" w:rsidP="00022F1A">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t>32</w:t>
    </w:r>
  </w:p>
  <w:p w14:paraId="46A3139E" w14:textId="77777777" w:rsidR="003031DD" w:rsidRPr="00492483" w:rsidRDefault="003031DD" w:rsidP="00ED6E44">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p w14:paraId="79348038" w14:textId="77777777" w:rsidR="003031DD" w:rsidRPr="00112228" w:rsidRDefault="003031DD" w:rsidP="00E65E51">
    <w:pPr>
      <w:pStyle w:val="Piedepgina"/>
      <w:rPr>
        <w:b/>
        <w:sz w:val="18"/>
        <w:szCs w:val="18"/>
      </w:rPr>
    </w:pPr>
  </w:p>
  <w:p w14:paraId="6E27CCCB" w14:textId="77777777" w:rsidR="003031DD" w:rsidRDefault="003031DD">
    <w:pPr>
      <w:pStyle w:val="Piedepgina"/>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77FA9" w14:textId="38D0969C" w:rsidR="004019BF" w:rsidRDefault="004019BF" w:rsidP="004019BF">
    <w:pPr>
      <w:pStyle w:val="Piedepgina"/>
      <w:tabs>
        <w:tab w:val="clear" w:pos="8504"/>
        <w:tab w:val="right" w:pos="8789"/>
      </w:tabs>
      <w:rPr>
        <w:b/>
        <w:bCs/>
        <w:sz w:val="18"/>
        <w:szCs w:val="18"/>
        <w:lang w:val="es-ES"/>
      </w:rPr>
    </w:pPr>
    <w:r w:rsidRPr="4C77B084">
      <w:rPr>
        <w:b/>
        <w:bCs/>
        <w:sz w:val="18"/>
        <w:szCs w:val="18"/>
        <w:lang w:val="es-ES"/>
      </w:rPr>
      <w:t>PARTE II</w:t>
    </w:r>
    <w:r>
      <w:rPr>
        <w:b/>
        <w:bCs/>
        <w:sz w:val="18"/>
        <w:szCs w:val="18"/>
        <w:lang w:val="es-ES"/>
      </w:rPr>
      <w:t xml:space="preserve"> </w:t>
    </w:r>
    <w:r w:rsidRPr="4C77B084">
      <w:rPr>
        <w:b/>
        <w:bCs/>
        <w:sz w:val="18"/>
        <w:szCs w:val="18"/>
        <w:lang w:val="es-ES"/>
      </w:rPr>
      <w:t>TÍTULO IV CAPÍTULO II</w:t>
    </w:r>
    <w:r>
      <w:tab/>
    </w:r>
    <w:r>
      <w:tab/>
    </w:r>
    <w:r w:rsidRPr="4C77B084">
      <w:rPr>
        <w:b/>
        <w:bCs/>
        <w:sz w:val="18"/>
        <w:szCs w:val="18"/>
        <w:lang w:val="es-ES"/>
      </w:rPr>
      <w:t xml:space="preserve">   PÁGINA </w:t>
    </w:r>
    <w:r w:rsidR="00BF5483">
      <w:rPr>
        <w:b/>
        <w:bCs/>
        <w:noProof/>
        <w:sz w:val="18"/>
        <w:szCs w:val="18"/>
        <w:lang w:val="es-ES"/>
      </w:rPr>
      <w:t>3</w:t>
    </w:r>
    <w:r w:rsidR="00EE4B89">
      <w:rPr>
        <w:b/>
        <w:bCs/>
        <w:noProof/>
        <w:sz w:val="18"/>
        <w:szCs w:val="18"/>
        <w:lang w:val="es-ES"/>
      </w:rPr>
      <w:t>1</w:t>
    </w:r>
  </w:p>
  <w:p w14:paraId="4989448B" w14:textId="4D10B32F" w:rsidR="004019BF" w:rsidRPr="00492483" w:rsidRDefault="001D0953" w:rsidP="001D0953">
    <w:pPr>
      <w:pStyle w:val="Piedepgina"/>
      <w:rPr>
        <w:b/>
        <w:sz w:val="18"/>
        <w:szCs w:val="18"/>
      </w:rPr>
    </w:pPr>
    <w:r>
      <w:rPr>
        <w:b/>
        <w:sz w:val="18"/>
        <w:szCs w:val="18"/>
      </w:rPr>
      <w:t xml:space="preserve">Circular </w:t>
    </w:r>
    <w:proofErr w:type="gramStart"/>
    <w:r>
      <w:rPr>
        <w:b/>
        <w:sz w:val="18"/>
        <w:szCs w:val="18"/>
      </w:rPr>
      <w:t>Externa  017</w:t>
    </w:r>
    <w:proofErr w:type="gramEnd"/>
    <w:r>
      <w:rPr>
        <w:b/>
        <w:sz w:val="18"/>
        <w:szCs w:val="18"/>
      </w:rPr>
      <w:t xml:space="preserve">  de 2024</w:t>
    </w:r>
    <w:r>
      <w:rPr>
        <w:b/>
        <w:sz w:val="18"/>
        <w:szCs w:val="18"/>
      </w:rPr>
      <w:tab/>
      <w:t xml:space="preserve">                                                                                            </w:t>
    </w:r>
    <w:proofErr w:type="gramStart"/>
    <w:r>
      <w:rPr>
        <w:b/>
        <w:sz w:val="18"/>
        <w:szCs w:val="18"/>
      </w:rPr>
      <w:t>Noviembre</w:t>
    </w:r>
    <w:proofErr w:type="gramEnd"/>
    <w:r>
      <w:rPr>
        <w:b/>
        <w:sz w:val="18"/>
        <w:szCs w:val="18"/>
      </w:rPr>
      <w:t xml:space="preserve"> de 2024</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14C6B" w14:textId="77777777"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p>
  <w:p w14:paraId="6A5D65E8" w14:textId="77777777" w:rsidR="00534159" w:rsidRPr="00112228" w:rsidRDefault="00534159"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CD1DF" w14:textId="04DE2E97" w:rsidR="003031DD" w:rsidRDefault="003031DD" w:rsidP="00022F1A">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t>34</w:t>
    </w:r>
  </w:p>
  <w:p w14:paraId="266C154E" w14:textId="77777777" w:rsidR="003031DD" w:rsidRPr="00492483" w:rsidRDefault="003031DD" w:rsidP="00ED6E44">
    <w:pPr>
      <w:pStyle w:val="Piedepgina"/>
      <w:rPr>
        <w:b/>
        <w:sz w:val="18"/>
        <w:szCs w:val="18"/>
      </w:rPr>
    </w:pPr>
    <w:r>
      <w:rPr>
        <w:b/>
        <w:sz w:val="18"/>
        <w:szCs w:val="18"/>
      </w:rPr>
      <w:t xml:space="preserve">Circular Externa </w:t>
    </w:r>
    <w:proofErr w:type="spellStart"/>
    <w:r>
      <w:rPr>
        <w:b/>
        <w:sz w:val="18"/>
        <w:szCs w:val="18"/>
      </w:rPr>
      <w:t>xxx</w:t>
    </w:r>
    <w:proofErr w:type="spellEnd"/>
    <w:r>
      <w:rPr>
        <w:b/>
        <w:sz w:val="18"/>
        <w:szCs w:val="18"/>
      </w:rPr>
      <w:t xml:space="preserve"> de 2025</w:t>
    </w:r>
    <w:r>
      <w:rPr>
        <w:b/>
        <w:sz w:val="18"/>
        <w:szCs w:val="18"/>
      </w:rPr>
      <w:tab/>
      <w:t xml:space="preserve">                                                                                                                       2025</w:t>
    </w:r>
  </w:p>
  <w:p w14:paraId="1B7A1B25" w14:textId="77777777" w:rsidR="003031DD" w:rsidRPr="00112228" w:rsidRDefault="003031DD" w:rsidP="00E65E51">
    <w:pPr>
      <w:pStyle w:val="Piedepgina"/>
      <w:rPr>
        <w:b/>
        <w:sz w:val="18"/>
        <w:szCs w:val="18"/>
      </w:rPr>
    </w:pPr>
  </w:p>
  <w:p w14:paraId="36700AB2" w14:textId="77777777" w:rsidR="003031DD" w:rsidRDefault="003031DD">
    <w:pPr>
      <w:pStyle w:val="Piedepgina"/>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B183" w14:textId="77777777" w:rsidR="004019BF" w:rsidRDefault="004019BF"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fldChar w:fldCharType="begin"/>
    </w:r>
    <w:r>
      <w:rPr>
        <w:b/>
        <w:sz w:val="18"/>
        <w:szCs w:val="18"/>
      </w:rPr>
      <w:instrText xml:space="preserve"> PAGE  \* Arabic  \* MERGEFORMAT </w:instrText>
    </w:r>
    <w:r>
      <w:rPr>
        <w:b/>
        <w:sz w:val="18"/>
        <w:szCs w:val="18"/>
      </w:rPr>
      <w:fldChar w:fldCharType="separate"/>
    </w:r>
    <w:r>
      <w:rPr>
        <w:b/>
        <w:noProof/>
        <w:sz w:val="18"/>
        <w:szCs w:val="18"/>
      </w:rPr>
      <w:t>31</w:t>
    </w:r>
    <w:r>
      <w:rPr>
        <w:b/>
        <w:sz w:val="18"/>
        <w:szCs w:val="18"/>
      </w:rPr>
      <w:fldChar w:fldCharType="end"/>
    </w:r>
  </w:p>
  <w:p w14:paraId="637AE0DB" w14:textId="77777777" w:rsidR="004019BF" w:rsidRPr="00492483" w:rsidRDefault="004019BF" w:rsidP="007656FF">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092EB" w14:textId="77777777" w:rsidR="003D3E9A" w:rsidRPr="00112228" w:rsidRDefault="003D3E9A" w:rsidP="003D3E9A">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w:t>
    </w:r>
  </w:p>
  <w:p w14:paraId="36710123" w14:textId="77777777" w:rsidR="003D3E9A" w:rsidRPr="00112228" w:rsidRDefault="003D3E9A" w:rsidP="003D3E9A">
    <w:pPr>
      <w:pStyle w:val="Piedepgina"/>
      <w:rPr>
        <w:b/>
        <w:sz w:val="18"/>
        <w:szCs w:val="18"/>
      </w:rPr>
    </w:pPr>
    <w:r>
      <w:rPr>
        <w:b/>
        <w:sz w:val="18"/>
        <w:szCs w:val="18"/>
      </w:rPr>
      <w:t xml:space="preserve">Circular </w:t>
    </w:r>
    <w:proofErr w:type="gramStart"/>
    <w:r>
      <w:rPr>
        <w:b/>
        <w:sz w:val="18"/>
        <w:szCs w:val="18"/>
      </w:rPr>
      <w:t>Externa  027</w:t>
    </w:r>
    <w:proofErr w:type="gramEnd"/>
    <w:r>
      <w:rPr>
        <w:b/>
        <w:sz w:val="18"/>
        <w:szCs w:val="18"/>
      </w:rPr>
      <w:t xml:space="preserve"> de </w:t>
    </w:r>
    <w:r w:rsidRPr="00112228">
      <w:rPr>
        <w:b/>
        <w:sz w:val="18"/>
        <w:szCs w:val="18"/>
      </w:rPr>
      <w:t>20</w:t>
    </w:r>
    <w:r>
      <w:rPr>
        <w:b/>
        <w:sz w:val="18"/>
        <w:szCs w:val="18"/>
      </w:rPr>
      <w:t>22</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274EA" w14:textId="783E44FD" w:rsidR="003D3E9A" w:rsidRPr="00112228" w:rsidRDefault="003D3E9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r w:rsidRPr="003D3E9A">
      <w:rPr>
        <w:b/>
        <w:sz w:val="18"/>
        <w:szCs w:val="18"/>
      </w:rPr>
      <w:fldChar w:fldCharType="begin"/>
    </w:r>
    <w:r w:rsidRPr="003D3E9A">
      <w:rPr>
        <w:b/>
        <w:sz w:val="18"/>
        <w:szCs w:val="18"/>
      </w:rPr>
      <w:instrText>PAGE   \* MERGEFORMAT</w:instrText>
    </w:r>
    <w:r w:rsidRPr="003D3E9A">
      <w:rPr>
        <w:b/>
        <w:sz w:val="18"/>
        <w:szCs w:val="18"/>
      </w:rPr>
      <w:fldChar w:fldCharType="separate"/>
    </w:r>
    <w:r w:rsidRPr="003D3E9A">
      <w:rPr>
        <w:b/>
        <w:sz w:val="18"/>
        <w:szCs w:val="18"/>
        <w:lang w:val="es-ES"/>
      </w:rPr>
      <w:t>1</w:t>
    </w:r>
    <w:r w:rsidRPr="003D3E9A">
      <w:rPr>
        <w:b/>
        <w:sz w:val="18"/>
        <w:szCs w:val="18"/>
      </w:rPr>
      <w:fldChar w:fldCharType="end"/>
    </w:r>
  </w:p>
  <w:p w14:paraId="6C7C0C86" w14:textId="77777777" w:rsidR="003D3E9A" w:rsidRPr="00112228" w:rsidRDefault="003D3E9A" w:rsidP="00924F40">
    <w:pPr>
      <w:pStyle w:val="Piedepgina"/>
      <w:rPr>
        <w:b/>
        <w:sz w:val="18"/>
        <w:szCs w:val="18"/>
      </w:rPr>
    </w:pPr>
    <w:r>
      <w:rPr>
        <w:b/>
        <w:sz w:val="18"/>
        <w:szCs w:val="18"/>
      </w:rPr>
      <w:t xml:space="preserve">Circular Externa 025 de </w:t>
    </w:r>
    <w:r w:rsidRPr="00112228">
      <w:rPr>
        <w:b/>
        <w:sz w:val="18"/>
        <w:szCs w:val="18"/>
      </w:rPr>
      <w:t>201</w:t>
    </w:r>
    <w:r>
      <w:rPr>
        <w:b/>
        <w:sz w:val="18"/>
        <w:szCs w:val="18"/>
      </w:rPr>
      <w:t xml:space="preserve">7 </w:t>
    </w:r>
    <w:r w:rsidRPr="00112228">
      <w:rPr>
        <w:b/>
        <w:sz w:val="18"/>
        <w:szCs w:val="18"/>
      </w:rPr>
      <w:tab/>
      <w:t xml:space="preserve">                                                                        </w:t>
    </w:r>
    <w:r>
      <w:rPr>
        <w:b/>
        <w:sz w:val="18"/>
        <w:szCs w:val="18"/>
      </w:rPr>
      <w:t xml:space="preserve">                    </w:t>
    </w:r>
    <w:proofErr w:type="gramStart"/>
    <w:r>
      <w:rPr>
        <w:b/>
        <w:sz w:val="18"/>
        <w:szCs w:val="18"/>
      </w:rPr>
      <w:t>Septiembre</w:t>
    </w:r>
    <w:proofErr w:type="gramEnd"/>
    <w:r>
      <w:rPr>
        <w:b/>
        <w:sz w:val="18"/>
        <w:szCs w:val="18"/>
      </w:rPr>
      <w:t xml:space="preserve"> de 2017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CF733" w14:textId="77777777" w:rsidR="003D3E9A" w:rsidRPr="00112228" w:rsidRDefault="003D3E9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4</w:t>
    </w:r>
  </w:p>
  <w:p w14:paraId="18243253" w14:textId="77777777" w:rsidR="003D3E9A" w:rsidRPr="00112228" w:rsidRDefault="003D3E9A" w:rsidP="00924F40">
    <w:pPr>
      <w:pStyle w:val="Piedepgina"/>
      <w:rPr>
        <w:b/>
        <w:sz w:val="18"/>
        <w:szCs w:val="18"/>
      </w:rPr>
    </w:pPr>
    <w:r>
      <w:rPr>
        <w:b/>
        <w:sz w:val="18"/>
        <w:szCs w:val="18"/>
      </w:rPr>
      <w:t xml:space="preserve">Circular Externa 027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3E7E8" w14:textId="77777777" w:rsidR="003D3E9A" w:rsidRPr="00112228" w:rsidRDefault="003D3E9A" w:rsidP="003D3E9A">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4-1</w:t>
    </w:r>
  </w:p>
  <w:p w14:paraId="5D04922F" w14:textId="77777777" w:rsidR="003D3E9A" w:rsidRPr="00112228" w:rsidRDefault="003D3E9A" w:rsidP="003D3E9A">
    <w:pPr>
      <w:pStyle w:val="Piedepgina"/>
      <w:rPr>
        <w:b/>
        <w:sz w:val="18"/>
        <w:szCs w:val="18"/>
      </w:rPr>
    </w:pPr>
    <w:r>
      <w:rPr>
        <w:b/>
        <w:sz w:val="18"/>
        <w:szCs w:val="18"/>
      </w:rPr>
      <w:t xml:space="preserve">Circular Externa 027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w:t>
    </w:r>
    <w:proofErr w:type="gramStart"/>
    <w:r>
      <w:rPr>
        <w:b/>
        <w:sz w:val="18"/>
        <w:szCs w:val="18"/>
      </w:rPr>
      <w:t>Diciembre</w:t>
    </w:r>
    <w:proofErr w:type="gramEnd"/>
    <w:r>
      <w:rPr>
        <w:b/>
        <w:sz w:val="18"/>
        <w:szCs w:val="18"/>
      </w:rPr>
      <w:t xml:space="preserve"> de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B4BD1" w14:textId="77777777" w:rsidR="00995DE3" w:rsidRDefault="00995DE3" w:rsidP="00492483">
      <w:r>
        <w:separator/>
      </w:r>
    </w:p>
  </w:footnote>
  <w:footnote w:type="continuationSeparator" w:id="0">
    <w:p w14:paraId="669F1A64" w14:textId="77777777" w:rsidR="00995DE3" w:rsidRDefault="00995DE3" w:rsidP="00492483">
      <w:r>
        <w:continuationSeparator/>
      </w:r>
    </w:p>
  </w:footnote>
  <w:footnote w:type="continuationNotice" w:id="1">
    <w:p w14:paraId="0753314D" w14:textId="77777777" w:rsidR="00995DE3" w:rsidRDefault="00995D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9593A" w14:textId="77777777" w:rsidR="00534159" w:rsidRDefault="00534159" w:rsidP="00492483">
    <w:pPr>
      <w:pStyle w:val="Encabezado"/>
      <w:jc w:val="center"/>
      <w:rPr>
        <w:b/>
        <w:sz w:val="24"/>
        <w:szCs w:val="24"/>
      </w:rPr>
    </w:pPr>
    <w:r w:rsidRPr="00492483">
      <w:rPr>
        <w:b/>
        <w:sz w:val="24"/>
        <w:szCs w:val="24"/>
      </w:rPr>
      <w:t>SUPERINTENDENCIA FINANCIERA DE COLOMBIA</w:t>
    </w:r>
  </w:p>
  <w:p w14:paraId="3760F4E4" w14:textId="77777777" w:rsidR="00534159" w:rsidRPr="00492483" w:rsidRDefault="00534159" w:rsidP="00CD186B">
    <w:pPr>
      <w:pStyle w:val="Encabezado"/>
      <w:tabs>
        <w:tab w:val="left" w:pos="714"/>
      </w:tabs>
      <w:jc w:val="left"/>
      <w:rPr>
        <w:b/>
        <w:sz w:val="24"/>
        <w:szCs w:val="24"/>
      </w:rPr>
    </w:pPr>
    <w:r>
      <w:rPr>
        <w:b/>
        <w:sz w:val="24"/>
        <w:szCs w:val="24"/>
      </w:rPr>
      <w:tab/>
    </w:r>
    <w:r>
      <w:rPr>
        <w:b/>
        <w:sz w:val="24"/>
        <w:szCs w:val="24"/>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F0036" w14:textId="77777777" w:rsidR="002D6E00" w:rsidRDefault="002D6E00" w:rsidP="00FD466C">
    <w:pPr>
      <w:pStyle w:val="Encabezado"/>
      <w:jc w:val="center"/>
      <w:rPr>
        <w:b/>
        <w:sz w:val="24"/>
        <w:szCs w:val="24"/>
      </w:rPr>
    </w:pPr>
    <w:r w:rsidRPr="00492483">
      <w:rPr>
        <w:b/>
        <w:sz w:val="24"/>
        <w:szCs w:val="24"/>
      </w:rPr>
      <w:t>SUPERINTENDENCIA FINANCIERA DE COLOMBIA</w:t>
    </w:r>
  </w:p>
  <w:p w14:paraId="5DB807A2" w14:textId="77777777" w:rsidR="002D6E00" w:rsidRDefault="002D6E0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57977" w14:textId="77777777" w:rsidR="002D6E00" w:rsidRDefault="002D6E00" w:rsidP="00FD466C">
    <w:pPr>
      <w:pStyle w:val="Encabezado"/>
      <w:jc w:val="center"/>
      <w:rPr>
        <w:b/>
        <w:sz w:val="24"/>
        <w:szCs w:val="24"/>
      </w:rPr>
    </w:pPr>
    <w:r w:rsidRPr="00492483">
      <w:rPr>
        <w:b/>
        <w:sz w:val="24"/>
        <w:szCs w:val="24"/>
      </w:rPr>
      <w:t>SUPERINTENDENCIA FINANCIERA DE COLOMBIA</w:t>
    </w:r>
  </w:p>
  <w:p w14:paraId="61B190D0" w14:textId="77777777" w:rsidR="002D6E00" w:rsidRDefault="002D6E0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45991" w14:textId="77777777" w:rsidR="00AE4F53" w:rsidRDefault="00AE4F53" w:rsidP="001223B2">
    <w:pPr>
      <w:pStyle w:val="Encabezado"/>
      <w:jc w:val="center"/>
      <w:rPr>
        <w:b/>
        <w:sz w:val="24"/>
        <w:szCs w:val="24"/>
      </w:rPr>
    </w:pPr>
    <w:r w:rsidRPr="00492483">
      <w:rPr>
        <w:b/>
        <w:sz w:val="24"/>
        <w:szCs w:val="24"/>
      </w:rPr>
      <w:t>SUPERINTENDENCIA FINANCIERA DE COLOMBIA</w:t>
    </w:r>
  </w:p>
  <w:p w14:paraId="0E1CF3B5" w14:textId="77777777" w:rsidR="00AE4F53" w:rsidRDefault="00AE4F53" w:rsidP="001223B2">
    <w:pPr>
      <w:pStyle w:val="Encabezado"/>
      <w:jc w:val="cent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89F7B" w14:textId="77777777" w:rsidR="00AE4F53" w:rsidRDefault="00AE4F53" w:rsidP="00211E24">
    <w:pPr>
      <w:pStyle w:val="Encabezado"/>
      <w:jc w:val="center"/>
      <w:rPr>
        <w:b/>
        <w:sz w:val="24"/>
        <w:szCs w:val="24"/>
      </w:rPr>
    </w:pPr>
    <w:r w:rsidRPr="00492483">
      <w:rPr>
        <w:b/>
        <w:sz w:val="24"/>
        <w:szCs w:val="24"/>
      </w:rPr>
      <w:t>SUPERINTENDENCIA FINANCIERA DE COLOMBIA</w:t>
    </w:r>
  </w:p>
  <w:p w14:paraId="6EFB2B24" w14:textId="77777777" w:rsidR="00AE4F53" w:rsidRDefault="00AE4F5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B1A2" w14:textId="77777777" w:rsidR="00534159" w:rsidRDefault="00534159" w:rsidP="00FD466C">
    <w:pPr>
      <w:pStyle w:val="Encabezado"/>
      <w:jc w:val="center"/>
      <w:rPr>
        <w:b/>
        <w:sz w:val="24"/>
        <w:szCs w:val="24"/>
      </w:rPr>
    </w:pPr>
    <w:r w:rsidRPr="00492483">
      <w:rPr>
        <w:b/>
        <w:sz w:val="24"/>
        <w:szCs w:val="24"/>
      </w:rPr>
      <w:t>SUPERINTENDENCIA FINANCIERA DE COLOMBIA</w:t>
    </w:r>
  </w:p>
  <w:p w14:paraId="3E227004" w14:textId="77777777" w:rsidR="00534159" w:rsidRDefault="0053415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97F7" w14:textId="77777777" w:rsidR="00534159" w:rsidRDefault="00534159" w:rsidP="00FD466C">
    <w:pPr>
      <w:pStyle w:val="Encabezado"/>
      <w:jc w:val="center"/>
      <w:rPr>
        <w:b/>
        <w:sz w:val="24"/>
        <w:szCs w:val="24"/>
      </w:rPr>
    </w:pPr>
    <w:r w:rsidRPr="00492483">
      <w:rPr>
        <w:b/>
        <w:sz w:val="24"/>
        <w:szCs w:val="24"/>
      </w:rPr>
      <w:t>SUPERINTENDENCIA FINANCIERA DE COLOMBIA</w:t>
    </w:r>
  </w:p>
  <w:p w14:paraId="26C7D352" w14:textId="77777777" w:rsidR="00534159" w:rsidRDefault="0053415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E00F8" w14:textId="77777777" w:rsidR="009A711C" w:rsidRDefault="009A711C" w:rsidP="00FD466C">
    <w:pPr>
      <w:pStyle w:val="Encabezado"/>
      <w:jc w:val="center"/>
      <w:rPr>
        <w:b/>
        <w:sz w:val="24"/>
        <w:szCs w:val="24"/>
      </w:rPr>
    </w:pPr>
    <w:r w:rsidRPr="00492483">
      <w:rPr>
        <w:b/>
        <w:sz w:val="24"/>
        <w:szCs w:val="24"/>
      </w:rPr>
      <w:t>SUPERINTENDENCIA FINANCIERA DE COLOMBIA</w:t>
    </w:r>
  </w:p>
  <w:p w14:paraId="0AB81A1D" w14:textId="77777777" w:rsidR="009A711C" w:rsidRDefault="009A711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459C4" w14:textId="77777777" w:rsidR="00534159" w:rsidRDefault="0053415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664E1" w14:textId="77777777" w:rsidR="00534159" w:rsidRPr="002C1EC9" w:rsidRDefault="00534159" w:rsidP="00BB0A30">
    <w:pPr>
      <w:pStyle w:val="Encabezado"/>
      <w:jc w:val="center"/>
      <w:rPr>
        <w:b/>
        <w:sz w:val="24"/>
        <w:lang w:val="es-MX"/>
      </w:rPr>
    </w:pPr>
    <w:r w:rsidRPr="002C1EC9">
      <w:rPr>
        <w:b/>
        <w:sz w:val="22"/>
        <w:lang w:val="es-MX"/>
      </w:rPr>
      <w:t>SUPERINTENDENCIA FINANCIERA DE COLOMBIA</w:t>
    </w:r>
  </w:p>
  <w:p w14:paraId="15F8C7D5" w14:textId="77777777" w:rsidR="00534159" w:rsidRDefault="0053415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2466F" w14:textId="77777777" w:rsidR="00534159" w:rsidRPr="002C1EC9" w:rsidRDefault="00534159" w:rsidP="00BB0A30">
    <w:pPr>
      <w:pStyle w:val="Encabezado"/>
      <w:jc w:val="center"/>
      <w:rPr>
        <w:b/>
        <w:sz w:val="22"/>
        <w:lang w:val="es-MX"/>
      </w:rPr>
    </w:pPr>
    <w:r w:rsidRPr="002C1EC9">
      <w:rPr>
        <w:b/>
        <w:sz w:val="22"/>
        <w:lang w:val="es-MX"/>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18984" w14:textId="77777777" w:rsidR="00534159" w:rsidRDefault="00534159" w:rsidP="00FD466C">
    <w:pPr>
      <w:pStyle w:val="Encabezado"/>
      <w:jc w:val="center"/>
      <w:rPr>
        <w:b/>
        <w:sz w:val="24"/>
        <w:szCs w:val="24"/>
      </w:rPr>
    </w:pPr>
    <w:r w:rsidRPr="00492483">
      <w:rPr>
        <w:b/>
        <w:sz w:val="24"/>
        <w:szCs w:val="24"/>
      </w:rPr>
      <w:t>SUPERINTENDENCIA FINANCIERA DE COLOMBIA</w:t>
    </w:r>
  </w:p>
  <w:p w14:paraId="68F5613F" w14:textId="77777777" w:rsidR="00534159" w:rsidRDefault="0053415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99B91" w14:textId="77777777" w:rsidR="00534159" w:rsidRDefault="00534159" w:rsidP="00FD466C">
    <w:pPr>
      <w:pStyle w:val="Encabezado"/>
      <w:jc w:val="center"/>
      <w:rPr>
        <w:b/>
        <w:sz w:val="24"/>
        <w:szCs w:val="24"/>
      </w:rPr>
    </w:pPr>
    <w:r w:rsidRPr="00492483">
      <w:rPr>
        <w:b/>
        <w:sz w:val="24"/>
        <w:szCs w:val="24"/>
      </w:rPr>
      <w:t>SUPERINTENDENCIA FINANCIERA DE COLOMBIA</w:t>
    </w:r>
  </w:p>
  <w:p w14:paraId="31B1EB89" w14:textId="77777777" w:rsidR="00534159" w:rsidRDefault="0053415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4EFF9" w14:textId="77777777" w:rsidR="00534159" w:rsidRDefault="0053415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A9A9B" w14:textId="77777777" w:rsidR="00534159" w:rsidRDefault="00534159" w:rsidP="00BB0A30">
    <w:pPr>
      <w:pStyle w:val="Encabezado"/>
      <w:jc w:val="center"/>
      <w:rPr>
        <w:b/>
        <w:sz w:val="24"/>
        <w:szCs w:val="24"/>
      </w:rPr>
    </w:pPr>
    <w:r w:rsidRPr="00492483">
      <w:rPr>
        <w:b/>
        <w:sz w:val="24"/>
        <w:szCs w:val="24"/>
      </w:rPr>
      <w:t>SUPERINTENDENCIA FINANCIERA DE COLOMBIA</w:t>
    </w:r>
  </w:p>
  <w:p w14:paraId="4F59F37D" w14:textId="77777777" w:rsidR="00534159" w:rsidRDefault="0053415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2EAA" w14:textId="77777777" w:rsidR="00534159" w:rsidRDefault="00534159" w:rsidP="00BB0A30">
    <w:pPr>
      <w:pStyle w:val="Encabezado"/>
      <w:jc w:val="center"/>
      <w:rPr>
        <w:b/>
        <w:sz w:val="24"/>
        <w:szCs w:val="24"/>
      </w:rPr>
    </w:pPr>
    <w:r w:rsidRPr="00492483">
      <w:rPr>
        <w:b/>
        <w:sz w:val="24"/>
        <w:szCs w:val="24"/>
      </w:rPr>
      <w:t>SUPERINTENDENCIA FINANCIERA DE COLOMBIA</w:t>
    </w:r>
  </w:p>
  <w:p w14:paraId="561202DA" w14:textId="77777777" w:rsidR="00534159" w:rsidRDefault="0053415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B9251" w14:textId="77777777" w:rsidR="00534159" w:rsidRDefault="00534159" w:rsidP="00492483">
    <w:pPr>
      <w:pStyle w:val="Encabezado"/>
      <w:jc w:val="center"/>
      <w:rPr>
        <w:b/>
        <w:sz w:val="24"/>
        <w:szCs w:val="24"/>
      </w:rPr>
    </w:pPr>
    <w:r w:rsidRPr="00492483">
      <w:rPr>
        <w:b/>
        <w:sz w:val="24"/>
        <w:szCs w:val="24"/>
      </w:rPr>
      <w:t>SUPERINTENDENCIA FINANCIERA DE COLOMBIA</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5191D" w14:textId="77777777" w:rsidR="00534159" w:rsidRDefault="00534159" w:rsidP="00FD466C">
    <w:pPr>
      <w:pStyle w:val="Encabezado"/>
      <w:jc w:val="center"/>
      <w:rPr>
        <w:b/>
        <w:sz w:val="24"/>
        <w:szCs w:val="24"/>
      </w:rPr>
    </w:pPr>
    <w:r w:rsidRPr="00492483">
      <w:rPr>
        <w:b/>
        <w:sz w:val="24"/>
        <w:szCs w:val="24"/>
      </w:rPr>
      <w:t>SUPERINTENDENCIA FINANCIERA DE COLOMBIA</w:t>
    </w:r>
  </w:p>
  <w:p w14:paraId="135145F4" w14:textId="77777777" w:rsidR="00534159" w:rsidRDefault="0053415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DE829" w14:textId="77777777" w:rsidR="00B12416" w:rsidRDefault="00B12416" w:rsidP="00492483">
    <w:pPr>
      <w:pStyle w:val="Encabezado"/>
      <w:jc w:val="center"/>
      <w:rPr>
        <w:b/>
        <w:sz w:val="24"/>
        <w:szCs w:val="24"/>
      </w:rPr>
    </w:pPr>
    <w:r w:rsidRPr="00492483">
      <w:rPr>
        <w:b/>
        <w:sz w:val="24"/>
        <w:szCs w:val="24"/>
      </w:rPr>
      <w:t>SUPERINTENDENCIA FINANCIERA DE COLOMBIA</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E51C1" w14:textId="77777777" w:rsidR="00534159" w:rsidRDefault="00534159" w:rsidP="00FD466C">
    <w:pPr>
      <w:pStyle w:val="Encabezado"/>
      <w:jc w:val="center"/>
      <w:rPr>
        <w:b/>
        <w:sz w:val="24"/>
        <w:szCs w:val="24"/>
      </w:rPr>
    </w:pPr>
    <w:r w:rsidRPr="00492483">
      <w:rPr>
        <w:b/>
        <w:sz w:val="24"/>
        <w:szCs w:val="24"/>
      </w:rPr>
      <w:t>SUPERINTENDENCIA FINANCIERA DE COLOMBIA</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4A2B6" w14:textId="77777777" w:rsidR="009B06EA" w:rsidRDefault="009B06EA" w:rsidP="00492483">
    <w:pPr>
      <w:pStyle w:val="Encabezado"/>
      <w:jc w:val="center"/>
      <w:rPr>
        <w:b/>
        <w:sz w:val="24"/>
        <w:szCs w:val="24"/>
      </w:rPr>
    </w:pPr>
    <w:r w:rsidRPr="00492483">
      <w:rPr>
        <w:b/>
        <w:sz w:val="24"/>
        <w:szCs w:val="24"/>
      </w:rPr>
      <w:t>SUPERINTENDENCIA FINANCIERA DE COLOMBIA</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339FC" w14:textId="77777777" w:rsidR="009B06EA" w:rsidRDefault="009B06EA" w:rsidP="00FD466C">
    <w:pPr>
      <w:pStyle w:val="Encabezado"/>
      <w:jc w:val="center"/>
      <w:rPr>
        <w:b/>
        <w:sz w:val="24"/>
        <w:szCs w:val="24"/>
      </w:rPr>
    </w:pPr>
    <w:r w:rsidRPr="00492483">
      <w:rPr>
        <w:b/>
        <w:sz w:val="24"/>
        <w:szCs w:val="24"/>
      </w:rPr>
      <w:t>SUPERINTENDENCIA FINANCIERA DE COLOMBIA</w:t>
    </w:r>
  </w:p>
  <w:p w14:paraId="49F434B7" w14:textId="77777777" w:rsidR="009B06EA" w:rsidRDefault="009B06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855A" w14:textId="77777777" w:rsidR="00534159" w:rsidRDefault="00534159" w:rsidP="00492483">
    <w:pPr>
      <w:pStyle w:val="Encabezado"/>
      <w:jc w:val="center"/>
      <w:rPr>
        <w:b/>
        <w:sz w:val="24"/>
        <w:szCs w:val="24"/>
      </w:rPr>
    </w:pPr>
    <w:r w:rsidRPr="00492483">
      <w:rPr>
        <w:b/>
        <w:sz w:val="24"/>
        <w:szCs w:val="24"/>
      </w:rPr>
      <w:t>SUPERINTENDENCIA FINANCIERA DE COLOMBIA</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52F9" w14:textId="77777777" w:rsidR="009B06EA" w:rsidRDefault="009B06EA" w:rsidP="00FD466C">
    <w:pPr>
      <w:pStyle w:val="Encabezado"/>
      <w:jc w:val="center"/>
      <w:rPr>
        <w:b/>
        <w:sz w:val="24"/>
        <w:szCs w:val="24"/>
      </w:rPr>
    </w:pPr>
    <w:r w:rsidRPr="00492483">
      <w:rPr>
        <w:b/>
        <w:sz w:val="24"/>
        <w:szCs w:val="24"/>
      </w:rPr>
      <w:t>SUPERINTENDENCIA FINANCIERA DE COLOMBIA</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4079" w14:textId="77777777" w:rsidR="009B06EA" w:rsidRDefault="009B06EA" w:rsidP="00FD466C">
    <w:pPr>
      <w:pStyle w:val="Encabezado"/>
      <w:jc w:val="center"/>
      <w:rPr>
        <w:b/>
        <w:sz w:val="24"/>
        <w:szCs w:val="24"/>
      </w:rPr>
    </w:pPr>
    <w:r w:rsidRPr="00492483">
      <w:rPr>
        <w:b/>
        <w:sz w:val="24"/>
        <w:szCs w:val="24"/>
      </w:rPr>
      <w:t>SUPERINTENDENCIA FINANCIERA DE COLOMBIA</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2BEDE" w14:textId="77777777" w:rsidR="00C45653" w:rsidRDefault="00C45653" w:rsidP="00FD466C">
    <w:pPr>
      <w:pStyle w:val="Encabezado"/>
      <w:jc w:val="center"/>
      <w:rPr>
        <w:b/>
        <w:sz w:val="24"/>
        <w:szCs w:val="24"/>
      </w:rPr>
    </w:pPr>
    <w:r w:rsidRPr="00492483">
      <w:rPr>
        <w:b/>
        <w:sz w:val="24"/>
        <w:szCs w:val="24"/>
      </w:rPr>
      <w:t>SUPERINTENDENCIA FINANCIERA DE COLOMBIA</w:t>
    </w:r>
  </w:p>
  <w:p w14:paraId="16813B45" w14:textId="77777777" w:rsidR="00C45653" w:rsidRDefault="00C4565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D9FC" w14:textId="77777777" w:rsidR="003D3E9A" w:rsidRDefault="003D3E9A" w:rsidP="00FD466C">
    <w:pPr>
      <w:pStyle w:val="Encabezado"/>
      <w:jc w:val="center"/>
      <w:rPr>
        <w:b/>
        <w:sz w:val="24"/>
        <w:szCs w:val="24"/>
      </w:rPr>
    </w:pPr>
    <w:r w:rsidRPr="00492483">
      <w:rPr>
        <w:b/>
        <w:sz w:val="24"/>
        <w:szCs w:val="24"/>
      </w:rPr>
      <w:t>SUPERINTENDENCIA FINANCIERA DE COLOMBIA</w:t>
    </w:r>
  </w:p>
  <w:p w14:paraId="68546978" w14:textId="77777777" w:rsidR="003D3E9A" w:rsidRDefault="003D3E9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9A124" w14:textId="77777777" w:rsidR="003D3E9A" w:rsidRDefault="003D3E9A" w:rsidP="00492483">
    <w:pPr>
      <w:pStyle w:val="Encabezado"/>
      <w:jc w:val="center"/>
      <w:rPr>
        <w:b/>
        <w:sz w:val="24"/>
        <w:szCs w:val="24"/>
      </w:rPr>
    </w:pPr>
    <w:r w:rsidRPr="00492483">
      <w:rPr>
        <w:b/>
        <w:sz w:val="24"/>
        <w:szCs w:val="24"/>
      </w:rPr>
      <w:t>SUPERINTENDENCIA FINANCIERA DE COLOMBIA</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E8B17" w14:textId="77777777" w:rsidR="00534159" w:rsidRDefault="00534159" w:rsidP="00FD466C">
    <w:pPr>
      <w:pStyle w:val="Encabezado"/>
      <w:jc w:val="center"/>
      <w:rPr>
        <w:b/>
        <w:sz w:val="24"/>
        <w:szCs w:val="24"/>
      </w:rPr>
    </w:pPr>
    <w:r w:rsidRPr="00492483">
      <w:rPr>
        <w:b/>
        <w:sz w:val="24"/>
        <w:szCs w:val="24"/>
      </w:rPr>
      <w:t>SUPERINTENDENCIA FINANCIERA DE COLOMBIA</w:t>
    </w:r>
  </w:p>
  <w:p w14:paraId="54DAC32D" w14:textId="77777777" w:rsidR="00534159" w:rsidRDefault="0053415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70821" w14:textId="77777777" w:rsidR="00534159" w:rsidRDefault="00534159" w:rsidP="00FD466C">
    <w:pPr>
      <w:pStyle w:val="Encabezado"/>
      <w:jc w:val="center"/>
      <w:rPr>
        <w:b/>
        <w:sz w:val="24"/>
        <w:szCs w:val="24"/>
      </w:rPr>
    </w:pPr>
    <w:r w:rsidRPr="00492483">
      <w:rPr>
        <w:b/>
        <w:sz w:val="24"/>
        <w:szCs w:val="24"/>
      </w:rPr>
      <w:t>SUPERINTENDENCIA FINANCIERA DE COLOMBIA</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E3CF4" w14:textId="77777777" w:rsidR="00534159" w:rsidRDefault="00534159" w:rsidP="00FD466C">
    <w:pPr>
      <w:pStyle w:val="Encabezado"/>
      <w:jc w:val="center"/>
      <w:rPr>
        <w:b/>
        <w:sz w:val="24"/>
        <w:szCs w:val="24"/>
      </w:rPr>
    </w:pPr>
    <w:r w:rsidRPr="00492483">
      <w:rPr>
        <w:b/>
        <w:sz w:val="24"/>
        <w:szCs w:val="24"/>
      </w:rPr>
      <w:t>SUPERINTENDENCIA FINANCIERA DE COLOMBIA</w:t>
    </w:r>
  </w:p>
  <w:p w14:paraId="13E50C13" w14:textId="77777777" w:rsidR="00534159" w:rsidRDefault="00534159">
    <w:pPr>
      <w:pStyle w:val="Encabezad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D4D0" w14:textId="77777777" w:rsidR="00534159" w:rsidRDefault="00534159" w:rsidP="00FD466C">
    <w:pPr>
      <w:pStyle w:val="Encabezado"/>
      <w:jc w:val="center"/>
      <w:rPr>
        <w:b/>
        <w:sz w:val="24"/>
        <w:szCs w:val="24"/>
      </w:rPr>
    </w:pPr>
    <w:r w:rsidRPr="00492483">
      <w:rPr>
        <w:b/>
        <w:sz w:val="24"/>
        <w:szCs w:val="24"/>
      </w:rPr>
      <w:t>SUPERINTENDENCIA FINANCIERA DE COLOMBIA</w:t>
    </w:r>
  </w:p>
  <w:p w14:paraId="5B64159D" w14:textId="77777777" w:rsidR="00534159" w:rsidRDefault="00534159">
    <w:pPr>
      <w:pStyle w:val="Encabezad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EE743" w14:textId="77777777" w:rsidR="00534159" w:rsidRDefault="00534159" w:rsidP="00492483">
    <w:pPr>
      <w:pStyle w:val="Encabezado"/>
      <w:jc w:val="center"/>
      <w:rPr>
        <w:b/>
        <w:sz w:val="24"/>
        <w:szCs w:val="24"/>
      </w:rPr>
    </w:pPr>
    <w:r w:rsidRPr="00492483">
      <w:rPr>
        <w:b/>
        <w:sz w:val="24"/>
        <w:szCs w:val="24"/>
      </w:rPr>
      <w:t>SUPERINTENDENCIA FINANCIERA DE COLOMBIA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7CCFC" w14:textId="77777777" w:rsidR="003D3E9A" w:rsidRDefault="003D3E9A" w:rsidP="00753192">
    <w:pPr>
      <w:pStyle w:val="Encabezado"/>
      <w:jc w:val="center"/>
      <w:rPr>
        <w:b/>
        <w:sz w:val="24"/>
        <w:szCs w:val="24"/>
      </w:rPr>
    </w:pPr>
    <w:r w:rsidRPr="00492483">
      <w:rPr>
        <w:b/>
        <w:sz w:val="24"/>
        <w:szCs w:val="24"/>
      </w:rPr>
      <w:t>SUPERINTENDENCIA FINANCIERA DE COLOMBIA</w:t>
    </w:r>
  </w:p>
  <w:p w14:paraId="6FFFB99C" w14:textId="77777777" w:rsidR="003D3E9A" w:rsidRDefault="003D3E9A">
    <w:pPr>
      <w:pStyle w:val="Encabezad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E1CE6" w14:textId="77777777" w:rsidR="00534159" w:rsidRDefault="00534159" w:rsidP="00FD466C">
    <w:pPr>
      <w:pStyle w:val="Encabezado"/>
      <w:jc w:val="center"/>
      <w:rPr>
        <w:b/>
        <w:sz w:val="24"/>
        <w:szCs w:val="24"/>
      </w:rPr>
    </w:pPr>
    <w:r w:rsidRPr="00492483">
      <w:rPr>
        <w:b/>
        <w:sz w:val="24"/>
        <w:szCs w:val="24"/>
      </w:rPr>
      <w:t>SUPERINTENDENCIA FINANCIERA DE COLOMBIA</w:t>
    </w:r>
  </w:p>
  <w:p w14:paraId="0BE76B6A" w14:textId="77777777" w:rsidR="00534159" w:rsidRDefault="00534159">
    <w:pPr>
      <w:pStyle w:val="Encabezad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19D7" w14:textId="77777777" w:rsidR="004019BF" w:rsidRDefault="004019BF" w:rsidP="00492483">
    <w:pPr>
      <w:pStyle w:val="Encabezado"/>
      <w:jc w:val="center"/>
      <w:rPr>
        <w:b/>
        <w:sz w:val="24"/>
        <w:szCs w:val="24"/>
      </w:rPr>
    </w:pPr>
    <w:r w:rsidRPr="00492483">
      <w:rPr>
        <w:b/>
        <w:sz w:val="24"/>
        <w:szCs w:val="24"/>
      </w:rPr>
      <w:t>SUPERINTENDENCIA FINANCIERA DE COLOMBIA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AAAC0" w14:textId="77777777" w:rsidR="003D3E9A" w:rsidRDefault="003D3E9A" w:rsidP="00753192">
    <w:pPr>
      <w:pStyle w:val="Encabezado"/>
      <w:jc w:val="center"/>
      <w:rPr>
        <w:b/>
        <w:sz w:val="24"/>
        <w:szCs w:val="24"/>
      </w:rPr>
    </w:pPr>
    <w:r w:rsidRPr="00492483">
      <w:rPr>
        <w:b/>
        <w:sz w:val="24"/>
        <w:szCs w:val="24"/>
      </w:rPr>
      <w:t>SUPERINTENDENCIA FINANCIERA DE COLOMBIA</w:t>
    </w:r>
  </w:p>
  <w:p w14:paraId="2A353934" w14:textId="77777777" w:rsidR="003D3E9A" w:rsidRDefault="003D3E9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94DF3" w14:textId="77777777" w:rsidR="00534159" w:rsidRDefault="00534159" w:rsidP="00FD466C">
    <w:pPr>
      <w:pStyle w:val="Encabezado"/>
      <w:jc w:val="center"/>
      <w:rPr>
        <w:b/>
        <w:sz w:val="24"/>
        <w:szCs w:val="24"/>
      </w:rPr>
    </w:pPr>
    <w:r w:rsidRPr="00492483">
      <w:rPr>
        <w:b/>
        <w:sz w:val="24"/>
        <w:szCs w:val="24"/>
      </w:rPr>
      <w:t>SUPERINTENDENCIA FINANCIERA DE COLOMBIA</w:t>
    </w:r>
  </w:p>
  <w:p w14:paraId="17E04669" w14:textId="77777777" w:rsidR="00534159" w:rsidRDefault="0053415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6AAB4" w14:textId="77777777" w:rsidR="003D3E9A" w:rsidRDefault="003D3E9A" w:rsidP="00FD466C">
    <w:pPr>
      <w:pStyle w:val="Encabezado"/>
      <w:jc w:val="center"/>
      <w:rPr>
        <w:b/>
        <w:sz w:val="24"/>
        <w:szCs w:val="24"/>
      </w:rPr>
    </w:pPr>
    <w:r w:rsidRPr="00492483">
      <w:rPr>
        <w:b/>
        <w:sz w:val="24"/>
        <w:szCs w:val="24"/>
      </w:rPr>
      <w:t>SUPERINTENDENCIA FINANCIERA DE COLOMBIA</w:t>
    </w:r>
  </w:p>
  <w:p w14:paraId="634FB6F2" w14:textId="77777777" w:rsidR="003D3E9A" w:rsidRDefault="003D3E9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FCAE5" w14:textId="77777777" w:rsidR="003D3E9A" w:rsidRDefault="003D3E9A" w:rsidP="00FD466C">
    <w:pPr>
      <w:pStyle w:val="Encabezado"/>
      <w:jc w:val="center"/>
      <w:rPr>
        <w:b/>
        <w:sz w:val="24"/>
        <w:szCs w:val="24"/>
      </w:rPr>
    </w:pPr>
    <w:r w:rsidRPr="00492483">
      <w:rPr>
        <w:b/>
        <w:sz w:val="24"/>
        <w:szCs w:val="24"/>
      </w:rPr>
      <w:t>SUPERINTENDENCIA FINANCIERA DE COLOMBIA</w:t>
    </w:r>
  </w:p>
  <w:p w14:paraId="7BD79D36" w14:textId="77777777" w:rsidR="003D3E9A" w:rsidRDefault="003D3E9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22D28" w14:textId="77777777" w:rsidR="003D3E9A" w:rsidRDefault="003D3E9A" w:rsidP="00FD466C">
    <w:pPr>
      <w:pStyle w:val="Encabezado"/>
      <w:jc w:val="center"/>
      <w:rPr>
        <w:b/>
        <w:sz w:val="24"/>
        <w:szCs w:val="24"/>
      </w:rPr>
    </w:pPr>
    <w:r w:rsidRPr="00492483">
      <w:rPr>
        <w:b/>
        <w:sz w:val="24"/>
        <w:szCs w:val="24"/>
      </w:rPr>
      <w:t>SUPERINTENDENCIA FINANCIERA DE COLOMBIA</w:t>
    </w:r>
  </w:p>
  <w:p w14:paraId="5AFB5017" w14:textId="77777777" w:rsidR="003D3E9A" w:rsidRDefault="003D3E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3B6A28"/>
    <w:multiLevelType w:val="hybridMultilevel"/>
    <w:tmpl w:val="C706D3B6"/>
    <w:lvl w:ilvl="0" w:tplc="945AE98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B717F6"/>
    <w:multiLevelType w:val="hybridMultilevel"/>
    <w:tmpl w:val="A076727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7776CF"/>
    <w:multiLevelType w:val="hybridMultilevel"/>
    <w:tmpl w:val="906273C0"/>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80E1100"/>
    <w:multiLevelType w:val="hybridMultilevel"/>
    <w:tmpl w:val="BCC097DE"/>
    <w:lvl w:ilvl="0" w:tplc="EA0A2A32">
      <w:start w:val="1"/>
      <w:numFmt w:val="lowerRoman"/>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A7551C"/>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A983F36"/>
    <w:multiLevelType w:val="hybridMultilevel"/>
    <w:tmpl w:val="6F2C6F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2F063A78"/>
    <w:multiLevelType w:val="hybridMultilevel"/>
    <w:tmpl w:val="AA5E452A"/>
    <w:lvl w:ilvl="0" w:tplc="240A000F">
      <w:start w:val="1"/>
      <w:numFmt w:val="decimal"/>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2FD23EBF"/>
    <w:multiLevelType w:val="hybridMultilevel"/>
    <w:tmpl w:val="9C54BC36"/>
    <w:lvl w:ilvl="0" w:tplc="93D85A6C">
      <w:start w:val="1"/>
      <w:numFmt w:val="lowerRoman"/>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3E661D98"/>
    <w:multiLevelType w:val="hybridMultilevel"/>
    <w:tmpl w:val="008651D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3" w15:restartNumberingAfterBreak="0">
    <w:nsid w:val="4EF83D75"/>
    <w:multiLevelType w:val="hybridMultilevel"/>
    <w:tmpl w:val="0FE05C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8254C11"/>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B656EB3"/>
    <w:multiLevelType w:val="multilevel"/>
    <w:tmpl w:val="7B38A790"/>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val="0"/>
        <w:bCs w:val="0"/>
      </w:rPr>
    </w:lvl>
    <w:lvl w:ilvl="3">
      <w:start w:val="2"/>
      <w:numFmt w:val="decimal"/>
      <w:lvlText w:val="%1.%2.%3.%4."/>
      <w:lvlJc w:val="left"/>
      <w:pPr>
        <w:ind w:left="720" w:hanging="720"/>
      </w:pPr>
      <w:rPr>
        <w:rFonts w:cs="Times New Roman" w:hint="default"/>
        <w:b w:val="0"/>
        <w:bCs w:val="0"/>
      </w:rPr>
    </w:lvl>
    <w:lvl w:ilvl="4">
      <w:start w:val="1"/>
      <w:numFmt w:val="decimal"/>
      <w:lvlText w:val="%1.%2.%3.%4.%5."/>
      <w:lvlJc w:val="left"/>
      <w:pPr>
        <w:ind w:left="720" w:hanging="720"/>
      </w:pPr>
      <w:rPr>
        <w:rFonts w:cs="Times New Roman" w:hint="default"/>
        <w:b w:val="0"/>
        <w:bCs/>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7"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50256B0"/>
    <w:multiLevelType w:val="hybridMultilevel"/>
    <w:tmpl w:val="B584FBF0"/>
    <w:lvl w:ilvl="0" w:tplc="240A001B">
      <w:start w:val="1"/>
      <w:numFmt w:val="lowerRoman"/>
      <w:lvlText w:val="%1."/>
      <w:lvlJc w:val="righ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721F4FB1"/>
    <w:multiLevelType w:val="hybridMultilevel"/>
    <w:tmpl w:val="1632F38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9091642"/>
    <w:multiLevelType w:val="hybridMultilevel"/>
    <w:tmpl w:val="5E229314"/>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C011887"/>
    <w:multiLevelType w:val="hybridMultilevel"/>
    <w:tmpl w:val="52DA08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16cid:durableId="750542069">
    <w:abstractNumId w:val="12"/>
  </w:num>
  <w:num w:numId="2" w16cid:durableId="31610695">
    <w:abstractNumId w:val="0"/>
  </w:num>
  <w:num w:numId="3" w16cid:durableId="1073549262">
    <w:abstractNumId w:val="6"/>
  </w:num>
  <w:num w:numId="4" w16cid:durableId="1211770717">
    <w:abstractNumId w:val="16"/>
  </w:num>
  <w:num w:numId="5" w16cid:durableId="1500383577">
    <w:abstractNumId w:val="21"/>
  </w:num>
  <w:num w:numId="6" w16cid:durableId="240414707">
    <w:abstractNumId w:val="15"/>
  </w:num>
  <w:num w:numId="7" w16cid:durableId="1669553217">
    <w:abstractNumId w:val="3"/>
  </w:num>
  <w:num w:numId="8" w16cid:durableId="1327170593">
    <w:abstractNumId w:val="17"/>
  </w:num>
  <w:num w:numId="9" w16cid:durableId="104468368">
    <w:abstractNumId w:val="14"/>
  </w:num>
  <w:num w:numId="10" w16cid:durableId="475345524">
    <w:abstractNumId w:val="7"/>
  </w:num>
  <w:num w:numId="11" w16cid:durableId="1992712782">
    <w:abstractNumId w:val="13"/>
  </w:num>
  <w:num w:numId="12" w16cid:durableId="552083937">
    <w:abstractNumId w:val="19"/>
  </w:num>
  <w:num w:numId="13" w16cid:durableId="1807047797">
    <w:abstractNumId w:val="8"/>
  </w:num>
  <w:num w:numId="14" w16cid:durableId="1442455382">
    <w:abstractNumId w:val="22"/>
  </w:num>
  <w:num w:numId="15" w16cid:durableId="241566871">
    <w:abstractNumId w:val="9"/>
  </w:num>
  <w:num w:numId="16" w16cid:durableId="1438404670">
    <w:abstractNumId w:val="18"/>
  </w:num>
  <w:num w:numId="17" w16cid:durableId="757096479">
    <w:abstractNumId w:val="10"/>
  </w:num>
  <w:num w:numId="18" w16cid:durableId="869729612">
    <w:abstractNumId w:val="5"/>
  </w:num>
  <w:num w:numId="19" w16cid:durableId="1514955480">
    <w:abstractNumId w:val="1"/>
  </w:num>
  <w:num w:numId="20" w16cid:durableId="254216362">
    <w:abstractNumId w:val="4"/>
  </w:num>
  <w:num w:numId="21" w16cid:durableId="1728141534">
    <w:abstractNumId w:val="2"/>
  </w:num>
  <w:num w:numId="22" w16cid:durableId="1650210236">
    <w:abstractNumId w:val="11"/>
  </w:num>
  <w:num w:numId="23" w16cid:durableId="38734569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34D6"/>
    <w:rsid w:val="00004BB2"/>
    <w:rsid w:val="00022F1A"/>
    <w:rsid w:val="00026038"/>
    <w:rsid w:val="000506D4"/>
    <w:rsid w:val="00052D1A"/>
    <w:rsid w:val="000610CD"/>
    <w:rsid w:val="0007308D"/>
    <w:rsid w:val="00077125"/>
    <w:rsid w:val="0009238F"/>
    <w:rsid w:val="0009258A"/>
    <w:rsid w:val="000937E1"/>
    <w:rsid w:val="00094501"/>
    <w:rsid w:val="000A4859"/>
    <w:rsid w:val="000B16B8"/>
    <w:rsid w:val="000C025D"/>
    <w:rsid w:val="000D3236"/>
    <w:rsid w:val="000D715A"/>
    <w:rsid w:val="000D7CEE"/>
    <w:rsid w:val="000E5C53"/>
    <w:rsid w:val="000E7357"/>
    <w:rsid w:val="00100CFC"/>
    <w:rsid w:val="001029BA"/>
    <w:rsid w:val="001265D4"/>
    <w:rsid w:val="00126DD7"/>
    <w:rsid w:val="00126FFB"/>
    <w:rsid w:val="00127D78"/>
    <w:rsid w:val="00140612"/>
    <w:rsid w:val="00144075"/>
    <w:rsid w:val="001461CD"/>
    <w:rsid w:val="0015138B"/>
    <w:rsid w:val="00156D25"/>
    <w:rsid w:val="001602EA"/>
    <w:rsid w:val="00162D3B"/>
    <w:rsid w:val="00163103"/>
    <w:rsid w:val="001703CE"/>
    <w:rsid w:val="00176559"/>
    <w:rsid w:val="001770B4"/>
    <w:rsid w:val="00187299"/>
    <w:rsid w:val="001919AF"/>
    <w:rsid w:val="001B0554"/>
    <w:rsid w:val="001B05A7"/>
    <w:rsid w:val="001C44B8"/>
    <w:rsid w:val="001D0953"/>
    <w:rsid w:val="001D0986"/>
    <w:rsid w:val="001D1677"/>
    <w:rsid w:val="001D365B"/>
    <w:rsid w:val="00225181"/>
    <w:rsid w:val="00227A92"/>
    <w:rsid w:val="00230B12"/>
    <w:rsid w:val="00233737"/>
    <w:rsid w:val="00242902"/>
    <w:rsid w:val="00243B4D"/>
    <w:rsid w:val="00245FCB"/>
    <w:rsid w:val="00266710"/>
    <w:rsid w:val="002736F5"/>
    <w:rsid w:val="00273EA0"/>
    <w:rsid w:val="00281CA1"/>
    <w:rsid w:val="00287CAF"/>
    <w:rsid w:val="002937A6"/>
    <w:rsid w:val="002947BB"/>
    <w:rsid w:val="002A11F6"/>
    <w:rsid w:val="002A1822"/>
    <w:rsid w:val="002B0368"/>
    <w:rsid w:val="002B2B15"/>
    <w:rsid w:val="002C089D"/>
    <w:rsid w:val="002C2B33"/>
    <w:rsid w:val="002C63C2"/>
    <w:rsid w:val="002D38CA"/>
    <w:rsid w:val="002D6E00"/>
    <w:rsid w:val="002E1D26"/>
    <w:rsid w:val="00300643"/>
    <w:rsid w:val="00300BAC"/>
    <w:rsid w:val="003031DD"/>
    <w:rsid w:val="00311C17"/>
    <w:rsid w:val="003171C9"/>
    <w:rsid w:val="00325C17"/>
    <w:rsid w:val="00336BB2"/>
    <w:rsid w:val="00347290"/>
    <w:rsid w:val="00356E1E"/>
    <w:rsid w:val="0037799B"/>
    <w:rsid w:val="003846D5"/>
    <w:rsid w:val="00396357"/>
    <w:rsid w:val="003A5B60"/>
    <w:rsid w:val="003A6DD0"/>
    <w:rsid w:val="003B2959"/>
    <w:rsid w:val="003B2C62"/>
    <w:rsid w:val="003B3C43"/>
    <w:rsid w:val="003C0848"/>
    <w:rsid w:val="003C16D0"/>
    <w:rsid w:val="003C19BE"/>
    <w:rsid w:val="003D3E9A"/>
    <w:rsid w:val="003E2EE0"/>
    <w:rsid w:val="003F0F1B"/>
    <w:rsid w:val="003F2F0E"/>
    <w:rsid w:val="004019BF"/>
    <w:rsid w:val="00406881"/>
    <w:rsid w:val="00414686"/>
    <w:rsid w:val="004233F9"/>
    <w:rsid w:val="00430A1B"/>
    <w:rsid w:val="004514F2"/>
    <w:rsid w:val="0045439C"/>
    <w:rsid w:val="004642AC"/>
    <w:rsid w:val="00465856"/>
    <w:rsid w:val="004852DB"/>
    <w:rsid w:val="00492483"/>
    <w:rsid w:val="004A4D2E"/>
    <w:rsid w:val="004B24C9"/>
    <w:rsid w:val="004C0D8A"/>
    <w:rsid w:val="004E5810"/>
    <w:rsid w:val="00515DB2"/>
    <w:rsid w:val="00527E8E"/>
    <w:rsid w:val="00534159"/>
    <w:rsid w:val="00535EFF"/>
    <w:rsid w:val="00540DC1"/>
    <w:rsid w:val="00541949"/>
    <w:rsid w:val="00551BE7"/>
    <w:rsid w:val="005707BA"/>
    <w:rsid w:val="005729F7"/>
    <w:rsid w:val="00577AB4"/>
    <w:rsid w:val="00585D4C"/>
    <w:rsid w:val="00592102"/>
    <w:rsid w:val="005A5AB6"/>
    <w:rsid w:val="005B1EB6"/>
    <w:rsid w:val="005B6EBA"/>
    <w:rsid w:val="005C2CB9"/>
    <w:rsid w:val="005D4962"/>
    <w:rsid w:val="005D4A9E"/>
    <w:rsid w:val="005D76E3"/>
    <w:rsid w:val="005F29C7"/>
    <w:rsid w:val="006161DB"/>
    <w:rsid w:val="00621414"/>
    <w:rsid w:val="00622816"/>
    <w:rsid w:val="006368D1"/>
    <w:rsid w:val="00641D7A"/>
    <w:rsid w:val="00651F47"/>
    <w:rsid w:val="00657F81"/>
    <w:rsid w:val="00692A66"/>
    <w:rsid w:val="00696338"/>
    <w:rsid w:val="00697CF2"/>
    <w:rsid w:val="006A5A6E"/>
    <w:rsid w:val="006B0E65"/>
    <w:rsid w:val="006B2BDD"/>
    <w:rsid w:val="006C38CD"/>
    <w:rsid w:val="006C6720"/>
    <w:rsid w:val="006E1606"/>
    <w:rsid w:val="006E283D"/>
    <w:rsid w:val="006E4FC3"/>
    <w:rsid w:val="0072189A"/>
    <w:rsid w:val="00726C0A"/>
    <w:rsid w:val="0073212E"/>
    <w:rsid w:val="007439A1"/>
    <w:rsid w:val="00755B07"/>
    <w:rsid w:val="007656FF"/>
    <w:rsid w:val="00765E96"/>
    <w:rsid w:val="0078594E"/>
    <w:rsid w:val="00791CAF"/>
    <w:rsid w:val="00794698"/>
    <w:rsid w:val="007A3544"/>
    <w:rsid w:val="007B0902"/>
    <w:rsid w:val="007B344D"/>
    <w:rsid w:val="007C028D"/>
    <w:rsid w:val="007C55F7"/>
    <w:rsid w:val="007D1B0E"/>
    <w:rsid w:val="007E626D"/>
    <w:rsid w:val="0080345A"/>
    <w:rsid w:val="00810126"/>
    <w:rsid w:val="00813583"/>
    <w:rsid w:val="008270B7"/>
    <w:rsid w:val="00827D83"/>
    <w:rsid w:val="00830D43"/>
    <w:rsid w:val="00831E85"/>
    <w:rsid w:val="00851A4E"/>
    <w:rsid w:val="008711B0"/>
    <w:rsid w:val="00873434"/>
    <w:rsid w:val="0087646E"/>
    <w:rsid w:val="008824EC"/>
    <w:rsid w:val="008B2914"/>
    <w:rsid w:val="008C13AD"/>
    <w:rsid w:val="008C20EC"/>
    <w:rsid w:val="008C2BF8"/>
    <w:rsid w:val="008C78F3"/>
    <w:rsid w:val="008D0976"/>
    <w:rsid w:val="008D63A1"/>
    <w:rsid w:val="008D64AD"/>
    <w:rsid w:val="008F1525"/>
    <w:rsid w:val="008F1C15"/>
    <w:rsid w:val="00906D6F"/>
    <w:rsid w:val="00910B76"/>
    <w:rsid w:val="00913B37"/>
    <w:rsid w:val="009214C2"/>
    <w:rsid w:val="00923C01"/>
    <w:rsid w:val="00924F40"/>
    <w:rsid w:val="009257CF"/>
    <w:rsid w:val="00927B6A"/>
    <w:rsid w:val="00935FCB"/>
    <w:rsid w:val="0095003A"/>
    <w:rsid w:val="00960AFB"/>
    <w:rsid w:val="00972FCB"/>
    <w:rsid w:val="00986D8B"/>
    <w:rsid w:val="0099369A"/>
    <w:rsid w:val="00995DE3"/>
    <w:rsid w:val="009A22D9"/>
    <w:rsid w:val="009A49F2"/>
    <w:rsid w:val="009A711C"/>
    <w:rsid w:val="009B06EA"/>
    <w:rsid w:val="009B12E4"/>
    <w:rsid w:val="009B173C"/>
    <w:rsid w:val="009C073E"/>
    <w:rsid w:val="009C6726"/>
    <w:rsid w:val="009D4D3E"/>
    <w:rsid w:val="009E0FBF"/>
    <w:rsid w:val="009F11C8"/>
    <w:rsid w:val="00A12D8D"/>
    <w:rsid w:val="00A32995"/>
    <w:rsid w:val="00A35509"/>
    <w:rsid w:val="00A632BB"/>
    <w:rsid w:val="00A80799"/>
    <w:rsid w:val="00A830EC"/>
    <w:rsid w:val="00A83C67"/>
    <w:rsid w:val="00A92F8B"/>
    <w:rsid w:val="00AA31FD"/>
    <w:rsid w:val="00AA3347"/>
    <w:rsid w:val="00AB0460"/>
    <w:rsid w:val="00AC4555"/>
    <w:rsid w:val="00AD71C7"/>
    <w:rsid w:val="00AE4F53"/>
    <w:rsid w:val="00AF6AF8"/>
    <w:rsid w:val="00AF79E4"/>
    <w:rsid w:val="00B10D26"/>
    <w:rsid w:val="00B12416"/>
    <w:rsid w:val="00B12B2E"/>
    <w:rsid w:val="00B23400"/>
    <w:rsid w:val="00B264C9"/>
    <w:rsid w:val="00B269D7"/>
    <w:rsid w:val="00B30839"/>
    <w:rsid w:val="00B31231"/>
    <w:rsid w:val="00B40D8E"/>
    <w:rsid w:val="00B43768"/>
    <w:rsid w:val="00B62D42"/>
    <w:rsid w:val="00B854F5"/>
    <w:rsid w:val="00B85F17"/>
    <w:rsid w:val="00B93E1B"/>
    <w:rsid w:val="00B94B30"/>
    <w:rsid w:val="00BA6B36"/>
    <w:rsid w:val="00BB0A30"/>
    <w:rsid w:val="00BB7D9F"/>
    <w:rsid w:val="00BC3E4E"/>
    <w:rsid w:val="00BD756E"/>
    <w:rsid w:val="00BE660C"/>
    <w:rsid w:val="00BE7CD4"/>
    <w:rsid w:val="00BF5483"/>
    <w:rsid w:val="00BF7FE5"/>
    <w:rsid w:val="00C05DA1"/>
    <w:rsid w:val="00C2042B"/>
    <w:rsid w:val="00C335D9"/>
    <w:rsid w:val="00C45653"/>
    <w:rsid w:val="00C53E3C"/>
    <w:rsid w:val="00C54286"/>
    <w:rsid w:val="00C66A3E"/>
    <w:rsid w:val="00C82E36"/>
    <w:rsid w:val="00C9139C"/>
    <w:rsid w:val="00CA6919"/>
    <w:rsid w:val="00CB0BFF"/>
    <w:rsid w:val="00CC2C5E"/>
    <w:rsid w:val="00CC78CD"/>
    <w:rsid w:val="00CD186B"/>
    <w:rsid w:val="00CD4BF2"/>
    <w:rsid w:val="00CF17D5"/>
    <w:rsid w:val="00CF278B"/>
    <w:rsid w:val="00CF30E6"/>
    <w:rsid w:val="00CF3439"/>
    <w:rsid w:val="00CF4711"/>
    <w:rsid w:val="00CF7DE6"/>
    <w:rsid w:val="00D004DE"/>
    <w:rsid w:val="00D131DC"/>
    <w:rsid w:val="00D142E2"/>
    <w:rsid w:val="00D44B25"/>
    <w:rsid w:val="00D46A7D"/>
    <w:rsid w:val="00D5244A"/>
    <w:rsid w:val="00D53B6C"/>
    <w:rsid w:val="00D626A3"/>
    <w:rsid w:val="00D65CB9"/>
    <w:rsid w:val="00D73F5B"/>
    <w:rsid w:val="00D84C15"/>
    <w:rsid w:val="00D91A9A"/>
    <w:rsid w:val="00DB3C51"/>
    <w:rsid w:val="00DC15B9"/>
    <w:rsid w:val="00DC6CF3"/>
    <w:rsid w:val="00DD2A2F"/>
    <w:rsid w:val="00DD6972"/>
    <w:rsid w:val="00DD703B"/>
    <w:rsid w:val="00DE06D1"/>
    <w:rsid w:val="00DE6ABB"/>
    <w:rsid w:val="00DF50EA"/>
    <w:rsid w:val="00E00EEC"/>
    <w:rsid w:val="00E01174"/>
    <w:rsid w:val="00E0324E"/>
    <w:rsid w:val="00E04FA1"/>
    <w:rsid w:val="00E165E5"/>
    <w:rsid w:val="00E21C96"/>
    <w:rsid w:val="00E3370C"/>
    <w:rsid w:val="00E41E4B"/>
    <w:rsid w:val="00E42A6C"/>
    <w:rsid w:val="00E444A0"/>
    <w:rsid w:val="00E52503"/>
    <w:rsid w:val="00E60256"/>
    <w:rsid w:val="00E634E1"/>
    <w:rsid w:val="00E65E51"/>
    <w:rsid w:val="00E82019"/>
    <w:rsid w:val="00E928C8"/>
    <w:rsid w:val="00EB046B"/>
    <w:rsid w:val="00EB37DE"/>
    <w:rsid w:val="00EC17D0"/>
    <w:rsid w:val="00ED0B1D"/>
    <w:rsid w:val="00ED35ED"/>
    <w:rsid w:val="00ED470E"/>
    <w:rsid w:val="00ED6E44"/>
    <w:rsid w:val="00EE0018"/>
    <w:rsid w:val="00EE13A7"/>
    <w:rsid w:val="00EE4B89"/>
    <w:rsid w:val="00EF67C2"/>
    <w:rsid w:val="00F01A00"/>
    <w:rsid w:val="00F11752"/>
    <w:rsid w:val="00F17D60"/>
    <w:rsid w:val="00F260AB"/>
    <w:rsid w:val="00F27AE0"/>
    <w:rsid w:val="00F339B9"/>
    <w:rsid w:val="00F45E7E"/>
    <w:rsid w:val="00F56311"/>
    <w:rsid w:val="00F56B75"/>
    <w:rsid w:val="00F72782"/>
    <w:rsid w:val="00F743DD"/>
    <w:rsid w:val="00F80F44"/>
    <w:rsid w:val="00F904B2"/>
    <w:rsid w:val="00FA0FC1"/>
    <w:rsid w:val="00FA49B6"/>
    <w:rsid w:val="00FB1E7D"/>
    <w:rsid w:val="00FB26D3"/>
    <w:rsid w:val="00FC0BE0"/>
    <w:rsid w:val="00FC7312"/>
    <w:rsid w:val="00FD466C"/>
    <w:rsid w:val="00FE4FAA"/>
    <w:rsid w:val="00FF78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D8425"/>
  <w15:docId w15:val="{8C4C25B1-4745-475F-BDC5-EAB8861D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character" w:customStyle="1" w:styleId="normaltextrun">
    <w:name w:val="normaltextrun"/>
    <w:basedOn w:val="Fuentedeprrafopredeter"/>
    <w:rsid w:val="00D46A7D"/>
  </w:style>
  <w:style w:type="paragraph" w:styleId="NormalWeb">
    <w:name w:val="Normal (Web)"/>
    <w:basedOn w:val="Normal"/>
    <w:uiPriority w:val="99"/>
    <w:semiHidden/>
    <w:unhideWhenUsed/>
    <w:rsid w:val="00C45653"/>
    <w:pPr>
      <w:spacing w:before="100" w:beforeAutospacing="1" w:after="100" w:afterAutospacing="1"/>
    </w:pPr>
    <w:rPr>
      <w:rFonts w:ascii="Times New Roman" w:hAnsi="Times New Roman"/>
      <w:szCs w:val="24"/>
      <w:lang w:val="es-CO"/>
    </w:rPr>
  </w:style>
  <w:style w:type="character" w:customStyle="1" w:styleId="apple-converted-space">
    <w:name w:val="apple-converted-space"/>
    <w:basedOn w:val="Fuentedeprrafopredeter"/>
    <w:rsid w:val="00C45653"/>
  </w:style>
  <w:style w:type="character" w:customStyle="1" w:styleId="Ninguno">
    <w:name w:val="Ninguno"/>
    <w:rsid w:val="009A711C"/>
    <w:rPr>
      <w:lang w:val="es-ES_tradnl"/>
    </w:rPr>
  </w:style>
  <w:style w:type="paragraph" w:customStyle="1" w:styleId="Textoindependiente2100">
    <w:name w:val="Texto independiente 210"/>
    <w:basedOn w:val="Normal"/>
    <w:rsid w:val="001770B4"/>
    <w:pPr>
      <w:tabs>
        <w:tab w:val="left" w:pos="851"/>
      </w:tabs>
      <w:jc w:val="both"/>
    </w:pPr>
    <w:rPr>
      <w:sz w:val="18"/>
      <w:lang w:val="es-ES_tradnl"/>
    </w:rPr>
  </w:style>
  <w:style w:type="paragraph" w:styleId="Revisin">
    <w:name w:val="Revision"/>
    <w:hidden/>
    <w:uiPriority w:val="99"/>
    <w:semiHidden/>
    <w:rsid w:val="001770B4"/>
    <w:rPr>
      <w:rFonts w:ascii="Arial" w:hAnsi="Arial"/>
      <w:sz w:val="24"/>
      <w:lang w:eastAsia="es-CO"/>
    </w:rPr>
  </w:style>
  <w:style w:type="paragraph" w:customStyle="1" w:styleId="Textoindependiente21000">
    <w:name w:val="Texto independiente 2100"/>
    <w:basedOn w:val="Normal"/>
    <w:rsid w:val="001770B4"/>
    <w:pPr>
      <w:tabs>
        <w:tab w:val="left" w:pos="851"/>
      </w:tabs>
      <w:jc w:val="both"/>
    </w:pPr>
    <w:rPr>
      <w:sz w:val="18"/>
      <w:lang w:val="es-ES_tradnl"/>
    </w:rPr>
  </w:style>
  <w:style w:type="paragraph" w:customStyle="1" w:styleId="Textoindependiente210000">
    <w:name w:val="Texto independiente 21000"/>
    <w:basedOn w:val="Normal"/>
    <w:rsid w:val="001770B4"/>
    <w:pPr>
      <w:tabs>
        <w:tab w:val="left" w:pos="851"/>
      </w:tabs>
      <w:jc w:val="both"/>
    </w:pPr>
    <w:rPr>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eader" Target="header6.xml"/><Relationship Id="rId42" Type="http://schemas.openxmlformats.org/officeDocument/2006/relationships/footer" Target="footer18.xml"/><Relationship Id="rId47" Type="http://schemas.openxmlformats.org/officeDocument/2006/relationships/footer" Target="footer21.xml"/><Relationship Id="rId63" Type="http://schemas.openxmlformats.org/officeDocument/2006/relationships/footer" Target="footer30.xml"/><Relationship Id="rId68" Type="http://schemas.openxmlformats.org/officeDocument/2006/relationships/footer" Target="footer33.xml"/><Relationship Id="rId84" Type="http://schemas.openxmlformats.org/officeDocument/2006/relationships/header" Target="header32.xml"/><Relationship Id="rId89" Type="http://schemas.openxmlformats.org/officeDocument/2006/relationships/footer" Target="footer45.xml"/><Relationship Id="rId16" Type="http://schemas.openxmlformats.org/officeDocument/2006/relationships/header" Target="header4.xml"/><Relationship Id="rId107" Type="http://schemas.openxmlformats.org/officeDocument/2006/relationships/footer" Target="footer56.xml"/><Relationship Id="rId11" Type="http://schemas.openxmlformats.org/officeDocument/2006/relationships/header" Target="header1.xml"/><Relationship Id="rId32" Type="http://schemas.openxmlformats.org/officeDocument/2006/relationships/header" Target="header10.xml"/><Relationship Id="rId37" Type="http://schemas.openxmlformats.org/officeDocument/2006/relationships/footer" Target="footer15.xml"/><Relationship Id="rId53" Type="http://schemas.openxmlformats.org/officeDocument/2006/relationships/footer" Target="footer24.xml"/><Relationship Id="rId58" Type="http://schemas.openxmlformats.org/officeDocument/2006/relationships/header" Target="header21.xml"/><Relationship Id="rId74" Type="http://schemas.openxmlformats.org/officeDocument/2006/relationships/footer" Target="footer36.xml"/><Relationship Id="rId79" Type="http://schemas.openxmlformats.org/officeDocument/2006/relationships/header" Target="header31.xml"/><Relationship Id="rId102" Type="http://schemas.openxmlformats.org/officeDocument/2006/relationships/footer" Target="footer53.xml"/><Relationship Id="rId5" Type="http://schemas.openxmlformats.org/officeDocument/2006/relationships/numbering" Target="numbering.xml"/><Relationship Id="rId90" Type="http://schemas.openxmlformats.org/officeDocument/2006/relationships/footer" Target="footer46.xml"/><Relationship Id="rId95" Type="http://schemas.openxmlformats.org/officeDocument/2006/relationships/footer" Target="footer49.xml"/><Relationship Id="rId22" Type="http://schemas.openxmlformats.org/officeDocument/2006/relationships/footer" Target="footer6.xml"/><Relationship Id="rId27" Type="http://schemas.openxmlformats.org/officeDocument/2006/relationships/footer" Target="footer9.xml"/><Relationship Id="rId43" Type="http://schemas.openxmlformats.org/officeDocument/2006/relationships/header" Target="header15.xml"/><Relationship Id="rId48" Type="http://schemas.openxmlformats.org/officeDocument/2006/relationships/header" Target="header17.xml"/><Relationship Id="rId64" Type="http://schemas.openxmlformats.org/officeDocument/2006/relationships/header" Target="header24.xml"/><Relationship Id="rId69" Type="http://schemas.openxmlformats.org/officeDocument/2006/relationships/header" Target="header26.xml"/><Relationship Id="rId80" Type="http://schemas.openxmlformats.org/officeDocument/2006/relationships/footer" Target="footer39.xml"/><Relationship Id="rId85" Type="http://schemas.openxmlformats.org/officeDocument/2006/relationships/footer" Target="footer43.xml"/><Relationship Id="rId12" Type="http://schemas.openxmlformats.org/officeDocument/2006/relationships/footer" Target="footer1.xml"/><Relationship Id="rId17" Type="http://schemas.openxmlformats.org/officeDocument/2006/relationships/footer" Target="footer3.xml"/><Relationship Id="rId33" Type="http://schemas.openxmlformats.org/officeDocument/2006/relationships/footer" Target="footer13.xml"/><Relationship Id="rId38" Type="http://schemas.openxmlformats.org/officeDocument/2006/relationships/header" Target="header13.xml"/><Relationship Id="rId59" Type="http://schemas.openxmlformats.org/officeDocument/2006/relationships/header" Target="header22.xml"/><Relationship Id="rId103" Type="http://schemas.openxmlformats.org/officeDocument/2006/relationships/footer" Target="footer54.xml"/><Relationship Id="rId108" Type="http://schemas.openxmlformats.org/officeDocument/2006/relationships/footer" Target="footer57.xml"/><Relationship Id="rId54" Type="http://schemas.openxmlformats.org/officeDocument/2006/relationships/footer" Target="footer25.xml"/><Relationship Id="rId70" Type="http://schemas.openxmlformats.org/officeDocument/2006/relationships/footer" Target="footer34.xml"/><Relationship Id="rId75" Type="http://schemas.openxmlformats.org/officeDocument/2006/relationships/header" Target="header29.xml"/><Relationship Id="rId91" Type="http://schemas.openxmlformats.org/officeDocument/2006/relationships/footer" Target="footer47.xml"/><Relationship Id="rId96"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10.xml"/><Relationship Id="rId36" Type="http://schemas.openxmlformats.org/officeDocument/2006/relationships/header" Target="header12.xml"/><Relationship Id="rId49" Type="http://schemas.openxmlformats.org/officeDocument/2006/relationships/header" Target="header18.xml"/><Relationship Id="rId57" Type="http://schemas.openxmlformats.org/officeDocument/2006/relationships/footer" Target="footer27.xml"/><Relationship Id="rId106" Type="http://schemas.openxmlformats.org/officeDocument/2006/relationships/header" Target="header41.xml"/><Relationship Id="rId10" Type="http://schemas.openxmlformats.org/officeDocument/2006/relationships/endnotes" Target="endnotes.xml"/><Relationship Id="rId31" Type="http://schemas.openxmlformats.org/officeDocument/2006/relationships/footer" Target="footer12.xml"/><Relationship Id="rId44" Type="http://schemas.openxmlformats.org/officeDocument/2006/relationships/footer" Target="footer19.xml"/><Relationship Id="rId52" Type="http://schemas.openxmlformats.org/officeDocument/2006/relationships/header" Target="header19.xml"/><Relationship Id="rId60" Type="http://schemas.openxmlformats.org/officeDocument/2006/relationships/footer" Target="footer28.xml"/><Relationship Id="rId65" Type="http://schemas.openxmlformats.org/officeDocument/2006/relationships/footer" Target="footer31.xml"/><Relationship Id="rId73" Type="http://schemas.openxmlformats.org/officeDocument/2006/relationships/header" Target="header28.xml"/><Relationship Id="rId78" Type="http://schemas.openxmlformats.org/officeDocument/2006/relationships/footer" Target="footer38.xml"/><Relationship Id="rId81" Type="http://schemas.openxmlformats.org/officeDocument/2006/relationships/footer" Target="footer40.xml"/><Relationship Id="rId86" Type="http://schemas.openxmlformats.org/officeDocument/2006/relationships/header" Target="header33.xml"/><Relationship Id="rId94" Type="http://schemas.openxmlformats.org/officeDocument/2006/relationships/header" Target="header36.xml"/><Relationship Id="rId99" Type="http://schemas.openxmlformats.org/officeDocument/2006/relationships/header" Target="header38.xml"/><Relationship Id="rId101" Type="http://schemas.openxmlformats.org/officeDocument/2006/relationships/header" Target="header39.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footer" Target="footer16.xml"/><Relationship Id="rId109" Type="http://schemas.openxmlformats.org/officeDocument/2006/relationships/fontTable" Target="fontTable.xml"/><Relationship Id="rId34" Type="http://schemas.openxmlformats.org/officeDocument/2006/relationships/header" Target="header11.xml"/><Relationship Id="rId50" Type="http://schemas.openxmlformats.org/officeDocument/2006/relationships/footer" Target="footer22.xml"/><Relationship Id="rId55" Type="http://schemas.openxmlformats.org/officeDocument/2006/relationships/footer" Target="footer26.xml"/><Relationship Id="rId76" Type="http://schemas.openxmlformats.org/officeDocument/2006/relationships/footer" Target="footer37.xml"/><Relationship Id="rId97" Type="http://schemas.openxmlformats.org/officeDocument/2006/relationships/footer" Target="footer50.xml"/><Relationship Id="rId104" Type="http://schemas.openxmlformats.org/officeDocument/2006/relationships/header" Target="header40.xml"/><Relationship Id="rId7" Type="http://schemas.openxmlformats.org/officeDocument/2006/relationships/settings" Target="settings.xml"/><Relationship Id="rId71" Type="http://schemas.openxmlformats.org/officeDocument/2006/relationships/header" Target="header27.xml"/><Relationship Id="rId92" Type="http://schemas.openxmlformats.org/officeDocument/2006/relationships/header" Target="header35.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7.xml"/><Relationship Id="rId45" Type="http://schemas.openxmlformats.org/officeDocument/2006/relationships/footer" Target="footer20.xml"/><Relationship Id="rId66" Type="http://schemas.openxmlformats.org/officeDocument/2006/relationships/footer" Target="footer32.xml"/><Relationship Id="rId87" Type="http://schemas.openxmlformats.org/officeDocument/2006/relationships/footer" Target="footer44.xml"/><Relationship Id="rId110" Type="http://schemas.openxmlformats.org/officeDocument/2006/relationships/theme" Target="theme/theme1.xml"/><Relationship Id="rId61" Type="http://schemas.openxmlformats.org/officeDocument/2006/relationships/footer" Target="footer29.xml"/><Relationship Id="rId82" Type="http://schemas.openxmlformats.org/officeDocument/2006/relationships/footer" Target="footer41.xml"/><Relationship Id="rId19" Type="http://schemas.openxmlformats.org/officeDocument/2006/relationships/footer" Target="footer4.xml"/><Relationship Id="rId14" Type="http://schemas.openxmlformats.org/officeDocument/2006/relationships/header" Target="header3.xml"/><Relationship Id="rId30" Type="http://schemas.openxmlformats.org/officeDocument/2006/relationships/footer" Target="footer11.xml"/><Relationship Id="rId35" Type="http://schemas.openxmlformats.org/officeDocument/2006/relationships/footer" Target="footer14.xml"/><Relationship Id="rId56" Type="http://schemas.openxmlformats.org/officeDocument/2006/relationships/header" Target="header20.xml"/><Relationship Id="rId77" Type="http://schemas.openxmlformats.org/officeDocument/2006/relationships/header" Target="header30.xml"/><Relationship Id="rId100" Type="http://schemas.openxmlformats.org/officeDocument/2006/relationships/footer" Target="footer52.xml"/><Relationship Id="rId105" Type="http://schemas.openxmlformats.org/officeDocument/2006/relationships/footer" Target="footer55.xml"/><Relationship Id="rId8" Type="http://schemas.openxmlformats.org/officeDocument/2006/relationships/webSettings" Target="webSettings.xml"/><Relationship Id="rId51" Type="http://schemas.openxmlformats.org/officeDocument/2006/relationships/footer" Target="footer23.xml"/><Relationship Id="rId72" Type="http://schemas.openxmlformats.org/officeDocument/2006/relationships/footer" Target="footer35.xml"/><Relationship Id="rId93" Type="http://schemas.openxmlformats.org/officeDocument/2006/relationships/footer" Target="footer48.xml"/><Relationship Id="rId98" Type="http://schemas.openxmlformats.org/officeDocument/2006/relationships/footer" Target="footer51.xml"/><Relationship Id="rId3" Type="http://schemas.openxmlformats.org/officeDocument/2006/relationships/customXml" Target="../customXml/item3.xml"/><Relationship Id="rId25" Type="http://schemas.openxmlformats.org/officeDocument/2006/relationships/footer" Target="footer8.xml"/><Relationship Id="rId46" Type="http://schemas.openxmlformats.org/officeDocument/2006/relationships/header" Target="header16.xml"/><Relationship Id="rId67" Type="http://schemas.openxmlformats.org/officeDocument/2006/relationships/header" Target="header25.xml"/><Relationship Id="rId20" Type="http://schemas.openxmlformats.org/officeDocument/2006/relationships/footer" Target="footer5.xml"/><Relationship Id="rId41" Type="http://schemas.openxmlformats.org/officeDocument/2006/relationships/header" Target="header14.xml"/><Relationship Id="rId62" Type="http://schemas.openxmlformats.org/officeDocument/2006/relationships/header" Target="header23.xml"/><Relationship Id="rId83" Type="http://schemas.openxmlformats.org/officeDocument/2006/relationships/footer" Target="footer42.xml"/><Relationship Id="rId88" Type="http://schemas.openxmlformats.org/officeDocument/2006/relationships/header" Target="header3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EA3C1-33F6-45F8-9CF4-B875EF721C83}">
  <ds:schemaRefs>
    <ds:schemaRef ds:uri="http://schemas.microsoft.com/sharepoint/v3/contenttype/forms"/>
  </ds:schemaRefs>
</ds:datastoreItem>
</file>

<file path=customXml/itemProps2.xml><?xml version="1.0" encoding="utf-8"?>
<ds:datastoreItem xmlns:ds="http://schemas.openxmlformats.org/officeDocument/2006/customXml" ds:itemID="{C8DF2778-F95B-495D-8369-6A8500750B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672A7E-2C8E-4358-94D5-5F4BF3BC76BB}">
  <ds:schemaRefs>
    <ds:schemaRef ds:uri="http://schemas.openxmlformats.org/officeDocument/2006/bibliography"/>
  </ds:schemaRefs>
</ds:datastoreItem>
</file>

<file path=customXml/itemProps4.xml><?xml version="1.0" encoding="utf-8"?>
<ds:datastoreItem xmlns:ds="http://schemas.openxmlformats.org/officeDocument/2006/customXml" ds:itemID="{3175E803-AEFA-4CD0-A14D-7A92995B9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67</Pages>
  <Words>34872</Words>
  <Characters>191797</Characters>
  <Application>Microsoft Office Word</Application>
  <DocSecurity>0</DocSecurity>
  <Lines>1598</Lines>
  <Paragraphs>452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 Castañeda</dc:creator>
  <cp:lastModifiedBy>Ana Maria Perez Herran</cp:lastModifiedBy>
  <cp:revision>65</cp:revision>
  <dcterms:created xsi:type="dcterms:W3CDTF">2025-05-16T20:39:00Z</dcterms:created>
  <dcterms:modified xsi:type="dcterms:W3CDTF">2025-05-19T16:26:00Z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ies>
</file>